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F4E79"/>
          <w:sz w:val="32"/>
        </w:rPr>
        <w:t>LEGAL ANALYSIS REPORT No. 5</w:t>
      </w:r>
    </w:p>
    <w:p>
      <w:pPr>
        <w:jc w:val="center"/>
      </w:pPr>
      <w:r>
        <w:rPr>
          <w:rFonts w:ascii="Arial" w:hAnsi="Arial"/>
          <w:b/>
          <w:sz w:val="26"/>
        </w:rPr>
        <w:t>Anti-Discrimination Office Berlin (ADB) and XENION Referral File</w:t>
      </w:r>
    </w:p>
    <w:p>
      <w:pPr>
        <w:jc w:val="center"/>
      </w:pPr>
      <w:r>
        <w:rPr>
          <w:i/>
          <w:sz w:val="20"/>
        </w:rPr>
        <w:t>Documentary and Legal Analysis of 2008-2009 Correspondence, Referral Handling, Institutional Awareness, and Possible Failure of Protective Function</w:t>
      </w:r>
    </w:p>
    <w:tbl>
      <w:tblPr>
        <w:tblStyle w:val="TableGrid"/>
        <w:tblW w:type="auto" w:w="0"/>
        <w:jc w:val="center"/>
        <w:tblLook w:firstColumn="1" w:firstRow="1" w:lastColumn="0" w:lastRow="0" w:noHBand="0" w:noVBand="1" w:val="04A0"/>
      </w:tblPr>
      <w:tblGrid>
        <w:gridCol w:w="5040"/>
        <w:gridCol w:w="5040"/>
      </w:tblGrid>
      <w:tr>
        <w:tc>
          <w:tcPr>
            <w:tcW w:type="dxa" w:w="2592"/>
            <w:vAlign w:val="top"/>
            <w:shd w:fill="D9EAF7"/>
          </w:tcPr>
          <w:p>
            <w:r/>
            <w:r>
              <w:rPr>
                <w:b/>
                <w:sz w:val="17"/>
              </w:rPr>
              <w:t>Field</w:t>
            </w:r>
          </w:p>
        </w:tc>
        <w:tc>
          <w:tcPr>
            <w:tcW w:type="dxa" w:w="8064"/>
            <w:vAlign w:val="top"/>
            <w:shd w:fill="D9EAF7"/>
          </w:tcPr>
          <w:p>
            <w:r/>
            <w:r>
              <w:rPr>
                <w:b/>
                <w:sz w:val="17"/>
              </w:rPr>
              <w:t>Content</w:t>
            </w:r>
          </w:p>
        </w:tc>
      </w:tr>
      <w:tr>
        <w:tc>
          <w:tcPr>
            <w:tcW w:type="dxa" w:w="2592"/>
            <w:vAlign w:val="top"/>
          </w:tcPr>
          <w:p>
            <w:r/>
            <w:r>
              <w:rPr>
                <w:b w:val="0"/>
                <w:sz w:val="17"/>
              </w:rPr>
              <w:t>Report number</w:t>
            </w:r>
          </w:p>
        </w:tc>
        <w:tc>
          <w:tcPr>
            <w:tcW w:type="dxa" w:w="8064"/>
            <w:vAlign w:val="top"/>
          </w:tcPr>
          <w:p>
            <w:r/>
            <w:r>
              <w:rPr>
                <w:b w:val="0"/>
                <w:sz w:val="17"/>
              </w:rPr>
              <w:t>No. 5 (without leading zero, as requested by the applicant)</w:t>
            </w:r>
          </w:p>
        </w:tc>
      </w:tr>
      <w:tr>
        <w:tc>
          <w:tcPr>
            <w:tcW w:type="dxa" w:w="2592"/>
            <w:vAlign w:val="top"/>
          </w:tcPr>
          <w:p>
            <w:r/>
            <w:r>
              <w:rPr>
                <w:b w:val="0"/>
                <w:sz w:val="17"/>
              </w:rPr>
              <w:t>Applicant</w:t>
            </w:r>
          </w:p>
        </w:tc>
        <w:tc>
          <w:tcPr>
            <w:tcW w:type="dxa" w:w="8064"/>
            <w:vAlign w:val="top"/>
          </w:tcPr>
          <w:p>
            <w:r/>
            <w:r>
              <w:rPr>
                <w:b w:val="0"/>
                <w:sz w:val="17"/>
              </w:rPr>
              <w:t>Ismail Rustam / Rustem Ismail / Rustem Azeri</w:t>
            </w:r>
          </w:p>
        </w:tc>
      </w:tr>
      <w:tr>
        <w:tc>
          <w:tcPr>
            <w:tcW w:type="dxa" w:w="2592"/>
            <w:vAlign w:val="top"/>
          </w:tcPr>
          <w:p>
            <w:r/>
            <w:r>
              <w:rPr>
                <w:b w:val="0"/>
                <w:sz w:val="17"/>
              </w:rPr>
              <w:t>Primary institutions</w:t>
            </w:r>
          </w:p>
        </w:tc>
        <w:tc>
          <w:tcPr>
            <w:tcW w:type="dxa" w:w="8064"/>
            <w:vAlign w:val="top"/>
          </w:tcPr>
          <w:p>
            <w:r/>
            <w:r>
              <w:rPr>
                <w:b w:val="0"/>
                <w:sz w:val="17"/>
              </w:rPr>
              <w:t>Anti-Diskriminierungsbuero (ADB) Berlin e.V.; XENION - Psychosoziale Hilfen fuer politisch Verfolgte e.V.</w:t>
            </w:r>
          </w:p>
        </w:tc>
      </w:tr>
      <w:tr>
        <w:tc>
          <w:tcPr>
            <w:tcW w:type="dxa" w:w="2592"/>
            <w:vAlign w:val="top"/>
          </w:tcPr>
          <w:p>
            <w:r/>
            <w:r>
              <w:rPr>
                <w:b w:val="0"/>
                <w:sz w:val="17"/>
              </w:rPr>
              <w:t>Primary address of ADB in file</w:t>
            </w:r>
          </w:p>
        </w:tc>
        <w:tc>
          <w:tcPr>
            <w:tcW w:type="dxa" w:w="8064"/>
            <w:vAlign w:val="top"/>
          </w:tcPr>
          <w:p>
            <w:r/>
            <w:r>
              <w:rPr>
                <w:b w:val="0"/>
                <w:sz w:val="17"/>
              </w:rPr>
              <w:t>Haus der Demokratie und Menschenrechte, Greifswalder Str. 4, 10405 Berlin</w:t>
            </w:r>
          </w:p>
        </w:tc>
      </w:tr>
      <w:tr>
        <w:tc>
          <w:tcPr>
            <w:tcW w:type="dxa" w:w="2592"/>
            <w:vAlign w:val="top"/>
          </w:tcPr>
          <w:p>
            <w:r/>
            <w:r>
              <w:rPr>
                <w:b w:val="0"/>
                <w:sz w:val="17"/>
              </w:rPr>
              <w:t>Primary address of XENION in file</w:t>
            </w:r>
          </w:p>
        </w:tc>
        <w:tc>
          <w:tcPr>
            <w:tcW w:type="dxa" w:w="8064"/>
            <w:vAlign w:val="top"/>
          </w:tcPr>
          <w:p>
            <w:r/>
            <w:r>
              <w:rPr>
                <w:b w:val="0"/>
                <w:sz w:val="17"/>
              </w:rPr>
              <w:t>Paulsenstrasse 55-56, 12163 Berlin</w:t>
            </w:r>
          </w:p>
        </w:tc>
      </w:tr>
      <w:tr>
        <w:tc>
          <w:tcPr>
            <w:tcW w:type="dxa" w:w="2592"/>
            <w:vAlign w:val="top"/>
          </w:tcPr>
          <w:p>
            <w:r/>
            <w:r>
              <w:rPr>
                <w:b w:val="0"/>
                <w:sz w:val="17"/>
              </w:rPr>
              <w:t>Primary period examined</w:t>
            </w:r>
          </w:p>
        </w:tc>
        <w:tc>
          <w:tcPr>
            <w:tcW w:type="dxa" w:w="8064"/>
            <w:vAlign w:val="top"/>
          </w:tcPr>
          <w:p>
            <w:r/>
            <w:r>
              <w:rPr>
                <w:b w:val="0"/>
                <w:sz w:val="17"/>
              </w:rPr>
              <w:t>19.06.2008 - 19.02.2009</w:t>
            </w:r>
          </w:p>
        </w:tc>
      </w:tr>
      <w:tr>
        <w:tc>
          <w:tcPr>
            <w:tcW w:type="dxa" w:w="2592"/>
            <w:vAlign w:val="top"/>
          </w:tcPr>
          <w:p>
            <w:r/>
            <w:r>
              <w:rPr>
                <w:b w:val="0"/>
                <w:sz w:val="17"/>
              </w:rPr>
              <w:t>Prepared as</w:t>
            </w:r>
          </w:p>
        </w:tc>
        <w:tc>
          <w:tcPr>
            <w:tcW w:type="dxa" w:w="8064"/>
            <w:vAlign w:val="top"/>
          </w:tcPr>
          <w:p>
            <w:r/>
            <w:r>
              <w:rPr>
                <w:b w:val="0"/>
                <w:sz w:val="17"/>
              </w:rPr>
              <w:t>AI-assisted legal-documentary working report based on the uploaded seven-page ADB/XENION file and the wider evidence context previously prepared in Reports No. 1-4 and 01-008</w:t>
            </w:r>
          </w:p>
        </w:tc>
      </w:tr>
      <w:tr>
        <w:tc>
          <w:tcPr>
            <w:tcW w:type="dxa" w:w="2592"/>
            <w:vAlign w:val="top"/>
          </w:tcPr>
          <w:p>
            <w:r/>
            <w:r>
              <w:rPr>
                <w:b w:val="0"/>
                <w:sz w:val="17"/>
              </w:rPr>
              <w:t>Status</w:t>
            </w:r>
          </w:p>
        </w:tc>
        <w:tc>
          <w:tcPr>
            <w:tcW w:type="dxa" w:w="8064"/>
            <w:vAlign w:val="top"/>
          </w:tcPr>
          <w:p>
            <w:r/>
            <w:r>
              <w:rPr>
                <w:b w:val="0"/>
                <w:sz w:val="17"/>
              </w:rPr>
              <w:t>Not a court judgment, not legal representation and not a forensic certification. This report separates visible documentary evidence, applicant witness statement, preliminary legal assessment and matters requiring verification.</w:t>
            </w:r>
          </w:p>
        </w:tc>
      </w:tr>
    </w:tbl>
    <w:p/>
    <w:p>
      <w:pPr>
        <w:pStyle w:val="Heading1"/>
      </w:pPr>
      <w:r>
        <w:t>I. Purpose and Scope</w:t>
      </w:r>
    </w:p>
    <w:p>
      <w:r>
        <w:rPr>
          <w:sz w:val="20"/>
        </w:rPr>
        <w:t>This Report No. 5 analyses a seven-page ADB/XENION file from 2008-2009. It follows the same structural method used for the Amnesty International, Berliner AIDS-Hilfe and German Red Cross / DRK reports: chronology, institution, address, subject matter, response or non-response, evidentiary value, legal duties within mandate, omissions and AI-assisted legal assessment.</w:t>
      </w:r>
    </w:p>
    <w:p>
      <w:r>
        <w:rPr>
          <w:sz w:val="20"/>
        </w:rPr>
        <w:t>The report does not treat ADB or XENION as direct state perpetrators of the underlying German detention, medical, police, court or social-administrative acts. The legal issue is different: whether these specialised human-rights, anti-discrimination and psychosocial support organisations were placed on notice of a vulnerable, seriously ill and legally isolated person and whether the visible file shows an adequate protective follow-up within their mandate.</w:t>
      </w:r>
    </w:p>
    <w:p>
      <w:pPr>
        <w:pStyle w:val="Heading1"/>
      </w:pPr>
      <w:r>
        <w:t>II. Source Register and Visible Documentary Basis</w:t>
      </w:r>
    </w:p>
    <w:tbl>
      <w:tblPr>
        <w:tblStyle w:val="TableGrid"/>
        <w:tblW w:type="auto" w:w="0"/>
        <w:jc w:val="center"/>
        <w:tblLook w:firstColumn="1" w:firstRow="1" w:lastColumn="0" w:lastRow="0" w:noHBand="0" w:noVBand="1" w:val="04A0"/>
      </w:tblPr>
      <w:tblGrid>
        <w:gridCol w:w="3360"/>
        <w:gridCol w:w="3360"/>
        <w:gridCol w:w="3360"/>
      </w:tblGrid>
      <w:tr>
        <w:tc>
          <w:tcPr>
            <w:tcW w:type="dxa" w:w="1584"/>
            <w:vAlign w:val="top"/>
            <w:shd w:fill="D9EAF7"/>
          </w:tcPr>
          <w:p>
            <w:r/>
            <w:r>
              <w:rPr>
                <w:b/>
                <w:sz w:val="17"/>
              </w:rPr>
              <w:t>Code</w:t>
            </w:r>
          </w:p>
        </w:tc>
        <w:tc>
          <w:tcPr>
            <w:tcW w:type="dxa" w:w="2880"/>
            <w:vAlign w:val="top"/>
            <w:shd w:fill="D9EAF7"/>
          </w:tcPr>
          <w:p>
            <w:r/>
            <w:r>
              <w:rPr>
                <w:b/>
                <w:sz w:val="17"/>
              </w:rPr>
              <w:t>Source / visible page</w:t>
            </w:r>
          </w:p>
        </w:tc>
        <w:tc>
          <w:tcPr>
            <w:tcW w:type="dxa" w:w="6624"/>
            <w:vAlign w:val="top"/>
            <w:shd w:fill="D9EAF7"/>
          </w:tcPr>
          <w:p>
            <w:r/>
            <w:r>
              <w:rPr>
                <w:b/>
                <w:sz w:val="17"/>
              </w:rPr>
              <w:t>Relevant content</w:t>
            </w:r>
          </w:p>
        </w:tc>
      </w:tr>
      <w:tr>
        <w:tc>
          <w:tcPr>
            <w:tcW w:type="dxa" w:w="1584"/>
            <w:vAlign w:val="top"/>
          </w:tcPr>
          <w:p>
            <w:r/>
            <w:r>
              <w:rPr>
                <w:b w:val="0"/>
                <w:sz w:val="17"/>
              </w:rPr>
              <w:t>S1</w:t>
            </w:r>
          </w:p>
        </w:tc>
        <w:tc>
          <w:tcPr>
            <w:tcW w:type="dxa" w:w="2880"/>
            <w:vAlign w:val="top"/>
          </w:tcPr>
          <w:p>
            <w:r/>
            <w:r>
              <w:rPr>
                <w:b w:val="0"/>
                <w:sz w:val="17"/>
              </w:rPr>
              <w:t>ADB letter dated 19.06.2008, page 1</w:t>
            </w:r>
          </w:p>
        </w:tc>
        <w:tc>
          <w:tcPr>
            <w:tcW w:type="dxa" w:w="6624"/>
            <w:vAlign w:val="top"/>
          </w:tcPr>
          <w:p>
            <w:r/>
            <w:r>
              <w:rPr>
                <w:b w:val="0"/>
                <w:sz w:val="17"/>
              </w:rPr>
              <w:t>ADB states that, as agreed in conversation, it arranged a first appointment at XENION for 30.06.2008 at 12:00 and that an ADB employee would accompany the applicant.</w:t>
            </w:r>
          </w:p>
        </w:tc>
      </w:tr>
      <w:tr>
        <w:tc>
          <w:tcPr>
            <w:tcW w:type="dxa" w:w="1584"/>
            <w:vAlign w:val="top"/>
          </w:tcPr>
          <w:p>
            <w:r/>
            <w:r>
              <w:rPr>
                <w:b w:val="0"/>
                <w:sz w:val="17"/>
              </w:rPr>
              <w:t>S2</w:t>
            </w:r>
          </w:p>
        </w:tc>
        <w:tc>
          <w:tcPr>
            <w:tcW w:type="dxa" w:w="2880"/>
            <w:vAlign w:val="top"/>
          </w:tcPr>
          <w:p>
            <w:r/>
            <w:r>
              <w:rPr>
                <w:b w:val="0"/>
                <w:sz w:val="17"/>
              </w:rPr>
              <w:t>ADB letter dated 30.06.2008, page 2</w:t>
            </w:r>
          </w:p>
        </w:tc>
        <w:tc>
          <w:tcPr>
            <w:tcW w:type="dxa" w:w="6624"/>
            <w:vAlign w:val="top"/>
          </w:tcPr>
          <w:p>
            <w:r/>
            <w:r>
              <w:rPr>
                <w:b w:val="0"/>
                <w:sz w:val="17"/>
              </w:rPr>
              <w:t>ADB sends again a copy of the Versorgungsamt response, states the first XENION appointment was missed, arranges a new XENION appointment for 08.07.2008 and asks the applicant to come to ADB on 03.07.2008 at 17:15 for preparation.</w:t>
            </w:r>
          </w:p>
        </w:tc>
      </w:tr>
      <w:tr>
        <w:tc>
          <w:tcPr>
            <w:tcW w:type="dxa" w:w="1584"/>
            <w:vAlign w:val="top"/>
          </w:tcPr>
          <w:p>
            <w:r/>
            <w:r>
              <w:rPr>
                <w:b w:val="0"/>
                <w:sz w:val="17"/>
              </w:rPr>
              <w:t>S3</w:t>
            </w:r>
          </w:p>
        </w:tc>
        <w:tc>
          <w:tcPr>
            <w:tcW w:type="dxa" w:w="2880"/>
            <w:vAlign w:val="top"/>
          </w:tcPr>
          <w:p>
            <w:r/>
            <w:r>
              <w:rPr>
                <w:b w:val="0"/>
                <w:sz w:val="17"/>
              </w:rPr>
              <w:t>ADB letter dated 30.06.2008, page 3</w:t>
            </w:r>
          </w:p>
        </w:tc>
        <w:tc>
          <w:tcPr>
            <w:tcW w:type="dxa" w:w="6624"/>
            <w:vAlign w:val="top"/>
          </w:tcPr>
          <w:p>
            <w:r/>
            <w:r>
              <w:rPr>
                <w:b w:val="0"/>
                <w:sz w:val="17"/>
              </w:rPr>
              <w:t>ADB arranges a further XENION appointment for 21.07.2008 at 14:00 and says it will try again to accompany the applicant.</w:t>
            </w:r>
          </w:p>
        </w:tc>
      </w:tr>
      <w:tr>
        <w:tc>
          <w:tcPr>
            <w:tcW w:type="dxa" w:w="1584"/>
            <w:vAlign w:val="top"/>
          </w:tcPr>
          <w:p>
            <w:r/>
            <w:r>
              <w:rPr>
                <w:b w:val="0"/>
                <w:sz w:val="17"/>
              </w:rPr>
              <w:t>S4</w:t>
            </w:r>
          </w:p>
        </w:tc>
        <w:tc>
          <w:tcPr>
            <w:tcW w:type="dxa" w:w="2880"/>
            <w:vAlign w:val="top"/>
          </w:tcPr>
          <w:p>
            <w:r/>
            <w:r>
              <w:rPr>
                <w:b w:val="0"/>
                <w:sz w:val="17"/>
              </w:rPr>
              <w:t>XENION appointment slip, page 4</w:t>
            </w:r>
          </w:p>
        </w:tc>
        <w:tc>
          <w:tcPr>
            <w:tcW w:type="dxa" w:w="6624"/>
            <w:vAlign w:val="top"/>
          </w:tcPr>
          <w:p>
            <w:r/>
            <w:r>
              <w:rPr>
                <w:b w:val="0"/>
                <w:sz w:val="17"/>
              </w:rPr>
              <w:t>XENION appointment note with address Paulsenstr. 55-56, 12163 Berlin and a handwritten next appointment entry, apparently 21.07.2008 at 14:00; handwriting requires verification.</w:t>
            </w:r>
          </w:p>
        </w:tc>
      </w:tr>
      <w:tr>
        <w:tc>
          <w:tcPr>
            <w:tcW w:type="dxa" w:w="1584"/>
            <w:vAlign w:val="top"/>
          </w:tcPr>
          <w:p>
            <w:r/>
            <w:r>
              <w:rPr>
                <w:b w:val="0"/>
                <w:sz w:val="17"/>
              </w:rPr>
              <w:t>S5</w:t>
            </w:r>
          </w:p>
        </w:tc>
        <w:tc>
          <w:tcPr>
            <w:tcW w:type="dxa" w:w="2880"/>
            <w:vAlign w:val="top"/>
          </w:tcPr>
          <w:p>
            <w:r/>
            <w:r>
              <w:rPr>
                <w:b w:val="0"/>
                <w:sz w:val="17"/>
              </w:rPr>
              <w:t>ADB letter dated 23.10.2008, pages 5-6</w:t>
            </w:r>
          </w:p>
        </w:tc>
        <w:tc>
          <w:tcPr>
            <w:tcW w:type="dxa" w:w="6624"/>
            <w:vAlign w:val="top"/>
          </w:tcPr>
          <w:p>
            <w:r/>
            <w:r>
              <w:rPr>
                <w:b w:val="0"/>
                <w:sz w:val="17"/>
              </w:rPr>
              <w:t>ADB arranges another XENION appointment for 30.10.2008 at 13:00 to discuss further steps concerning a mentor programme and refers the applicant to Caritas debt counselling at Turmstr. 22.</w:t>
            </w:r>
          </w:p>
        </w:tc>
      </w:tr>
      <w:tr>
        <w:tc>
          <w:tcPr>
            <w:tcW w:type="dxa" w:w="1584"/>
            <w:vAlign w:val="top"/>
          </w:tcPr>
          <w:p>
            <w:r/>
            <w:r>
              <w:rPr>
                <w:b w:val="0"/>
                <w:sz w:val="17"/>
              </w:rPr>
              <w:t>S6</w:t>
            </w:r>
          </w:p>
        </w:tc>
        <w:tc>
          <w:tcPr>
            <w:tcW w:type="dxa" w:w="2880"/>
            <w:vAlign w:val="top"/>
          </w:tcPr>
          <w:p>
            <w:r/>
            <w:r>
              <w:rPr>
                <w:b w:val="0"/>
                <w:sz w:val="17"/>
              </w:rPr>
              <w:t>ADB letter dated 19.02.2009, page 7</w:t>
            </w:r>
          </w:p>
        </w:tc>
        <w:tc>
          <w:tcPr>
            <w:tcW w:type="dxa" w:w="6624"/>
            <w:vAlign w:val="top"/>
          </w:tcPr>
          <w:p>
            <w:r/>
            <w:r>
              <w:rPr>
                <w:b w:val="0"/>
                <w:sz w:val="17"/>
              </w:rPr>
              <w:t>ADB states that it wants to inform itself about the applicant’s current situation and asks him to come to ADB on 26.02.2009 at 17:00.</w:t>
            </w:r>
          </w:p>
        </w:tc>
      </w:tr>
      <w:tr>
        <w:tc>
          <w:tcPr>
            <w:tcW w:type="dxa" w:w="1584"/>
            <w:vAlign w:val="top"/>
          </w:tcPr>
          <w:p>
            <w:r/>
            <w:r>
              <w:rPr>
                <w:b w:val="0"/>
                <w:sz w:val="17"/>
              </w:rPr>
              <w:t>Wider context</w:t>
            </w:r>
          </w:p>
        </w:tc>
        <w:tc>
          <w:tcPr>
            <w:tcW w:type="dxa" w:w="2880"/>
            <w:vAlign w:val="top"/>
          </w:tcPr>
          <w:p>
            <w:r/>
            <w:r>
              <w:rPr>
                <w:b w:val="0"/>
                <w:sz w:val="17"/>
              </w:rPr>
              <w:t>Reports No. 1-4 and 01-008, applicant-provided legal analysis reports</w:t>
            </w:r>
          </w:p>
        </w:tc>
        <w:tc>
          <w:tcPr>
            <w:tcW w:type="dxa" w:w="6624"/>
            <w:vAlign w:val="top"/>
          </w:tcPr>
          <w:p>
            <w:r/>
            <w:r>
              <w:rPr>
                <w:b w:val="0"/>
                <w:sz w:val="17"/>
              </w:rPr>
              <w:t>These reports map the wider alleged chain: 1998-1999 detention and medical unfitness, 1999 Koepenick incident, 1998-2005 medical/social/legal obstruction, 2005 correction, 2007-2009 criminal-procedure closure, 2008 forced psychiatry allegation, Bundestag/Abgeordnetenhaus petitions, Amnesty/AIDS-Hilfe/DRK contacts and delivery-proof register.</w:t>
            </w:r>
          </w:p>
        </w:tc>
      </w:tr>
    </w:tbl>
    <w:p/>
    <w:p>
      <w:pPr>
        <w:pStyle w:val="Heading1"/>
      </w:pPr>
      <w:r>
        <w:t>III. Chronological Reconstruction</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1440"/>
            <w:vAlign w:val="top"/>
            <w:shd w:fill="D9EAF7"/>
          </w:tcPr>
          <w:p>
            <w:r/>
            <w:r>
              <w:rPr>
                <w:b/>
                <w:sz w:val="17"/>
              </w:rPr>
              <w:t>Date</w:t>
            </w:r>
          </w:p>
        </w:tc>
        <w:tc>
          <w:tcPr>
            <w:tcW w:type="dxa" w:w="1872"/>
            <w:vAlign w:val="top"/>
            <w:shd w:fill="D9EAF7"/>
          </w:tcPr>
          <w:p>
            <w:r/>
            <w:r>
              <w:rPr>
                <w:b/>
                <w:sz w:val="17"/>
              </w:rPr>
              <w:t>Institution / actor</w:t>
            </w:r>
          </w:p>
        </w:tc>
        <w:tc>
          <w:tcPr>
            <w:tcW w:type="dxa" w:w="3456"/>
            <w:vAlign w:val="top"/>
            <w:shd w:fill="D9EAF7"/>
          </w:tcPr>
          <w:p>
            <w:r/>
            <w:r>
              <w:rPr>
                <w:b/>
                <w:sz w:val="17"/>
              </w:rPr>
              <w:t>Documented event</w:t>
            </w:r>
          </w:p>
        </w:tc>
        <w:tc>
          <w:tcPr>
            <w:tcW w:type="dxa" w:w="4320"/>
            <w:vAlign w:val="top"/>
            <w:shd w:fill="D9EAF7"/>
          </w:tcPr>
          <w:p>
            <w:r/>
            <w:r>
              <w:rPr>
                <w:b/>
                <w:sz w:val="17"/>
              </w:rPr>
              <w:t>Legal-documentary significance</w:t>
            </w:r>
          </w:p>
        </w:tc>
      </w:tr>
      <w:tr>
        <w:tc>
          <w:tcPr>
            <w:tcW w:type="dxa" w:w="1440"/>
            <w:vAlign w:val="top"/>
          </w:tcPr>
          <w:p>
            <w:r/>
            <w:r>
              <w:rPr>
                <w:b w:val="0"/>
                <w:sz w:val="17"/>
              </w:rPr>
              <w:t>19.06.2008</w:t>
            </w:r>
          </w:p>
        </w:tc>
        <w:tc>
          <w:tcPr>
            <w:tcW w:type="dxa" w:w="1872"/>
            <w:vAlign w:val="top"/>
          </w:tcPr>
          <w:p>
            <w:r/>
            <w:r>
              <w:rPr>
                <w:b w:val="0"/>
                <w:sz w:val="17"/>
              </w:rPr>
              <w:t>ADB Berlin</w:t>
            </w:r>
          </w:p>
        </w:tc>
        <w:tc>
          <w:tcPr>
            <w:tcW w:type="dxa" w:w="3456"/>
            <w:vAlign w:val="top"/>
          </w:tcPr>
          <w:p>
            <w:r/>
            <w:r>
              <w:rPr>
                <w:b w:val="0"/>
                <w:sz w:val="17"/>
              </w:rPr>
              <w:t>ADB confirms a conversation and a first appointment at XENION on 30.06.2008 at 12:00. ADB says an employee will accompany the applicant.</w:t>
            </w:r>
          </w:p>
        </w:tc>
        <w:tc>
          <w:tcPr>
            <w:tcW w:type="dxa" w:w="4320"/>
            <w:vAlign w:val="top"/>
          </w:tcPr>
          <w:p>
            <w:r/>
            <w:r>
              <w:rPr>
                <w:b w:val="0"/>
                <w:sz w:val="17"/>
              </w:rPr>
              <w:t>This proves that ADB was not merely passively copied; it had direct contact, arranged a human-rights/psychosocial referral and accepted a support role at least at the level of appointment coordination.</w:t>
            </w:r>
          </w:p>
        </w:tc>
      </w:tr>
      <w:tr>
        <w:tc>
          <w:tcPr>
            <w:tcW w:type="dxa" w:w="1440"/>
            <w:vAlign w:val="top"/>
          </w:tcPr>
          <w:p>
            <w:r/>
            <w:r>
              <w:rPr>
                <w:b w:val="0"/>
                <w:sz w:val="17"/>
              </w:rPr>
              <w:t>30.06.2008</w:t>
            </w:r>
          </w:p>
        </w:tc>
        <w:tc>
          <w:tcPr>
            <w:tcW w:type="dxa" w:w="1872"/>
            <w:vAlign w:val="top"/>
          </w:tcPr>
          <w:p>
            <w:r/>
            <w:r>
              <w:rPr>
                <w:b w:val="0"/>
                <w:sz w:val="17"/>
              </w:rPr>
              <w:t>ADB Berlin</w:t>
            </w:r>
          </w:p>
        </w:tc>
        <w:tc>
          <w:tcPr>
            <w:tcW w:type="dxa" w:w="3456"/>
            <w:vAlign w:val="top"/>
          </w:tcPr>
          <w:p>
            <w:r/>
            <w:r>
              <w:rPr>
                <w:b w:val="0"/>
                <w:sz w:val="17"/>
              </w:rPr>
              <w:t>ADB states the applicant could not attend the XENION appointment and arranges a new appointment for 08.07.2008. It asks him to come to ADB on 03.07.2008 to prepare the XENION meeting.</w:t>
            </w:r>
          </w:p>
        </w:tc>
        <w:tc>
          <w:tcPr>
            <w:tcW w:type="dxa" w:w="4320"/>
            <w:vAlign w:val="top"/>
          </w:tcPr>
          <w:p>
            <w:r/>
            <w:r>
              <w:rPr>
                <w:b w:val="0"/>
                <w:sz w:val="17"/>
              </w:rPr>
              <w:t>This shows continuing contact, but the visible file does not show a written risk assessment, case note, emergency plan, medical referral or legal action despite the serious wider context.</w:t>
            </w:r>
          </w:p>
        </w:tc>
      </w:tr>
      <w:tr>
        <w:tc>
          <w:tcPr>
            <w:tcW w:type="dxa" w:w="1440"/>
            <w:vAlign w:val="top"/>
          </w:tcPr>
          <w:p>
            <w:r/>
            <w:r>
              <w:rPr>
                <w:b w:val="0"/>
                <w:sz w:val="17"/>
              </w:rPr>
              <w:t>30.06.2008</w:t>
            </w:r>
          </w:p>
        </w:tc>
        <w:tc>
          <w:tcPr>
            <w:tcW w:type="dxa" w:w="1872"/>
            <w:vAlign w:val="top"/>
          </w:tcPr>
          <w:p>
            <w:r/>
            <w:r>
              <w:rPr>
                <w:b w:val="0"/>
                <w:sz w:val="17"/>
              </w:rPr>
              <w:t>ADB Berlin</w:t>
            </w:r>
          </w:p>
        </w:tc>
        <w:tc>
          <w:tcPr>
            <w:tcW w:type="dxa" w:w="3456"/>
            <w:vAlign w:val="top"/>
          </w:tcPr>
          <w:p>
            <w:r/>
            <w:r>
              <w:rPr>
                <w:b w:val="0"/>
                <w:sz w:val="17"/>
              </w:rPr>
              <w:t>ADB arranges another XENION appointment for 21.07.2008 at 14:00 and states it will try again to accompany the applicant.</w:t>
            </w:r>
          </w:p>
        </w:tc>
        <w:tc>
          <w:tcPr>
            <w:tcW w:type="dxa" w:w="4320"/>
            <w:vAlign w:val="top"/>
          </w:tcPr>
          <w:p>
            <w:r/>
            <w:r>
              <w:rPr>
                <w:b w:val="0"/>
                <w:sz w:val="17"/>
              </w:rPr>
              <w:t>This indicates that ADB understood accompaniment was relevant. It also shows that the case required more than a simple address referral.</w:t>
            </w:r>
          </w:p>
        </w:tc>
      </w:tr>
      <w:tr>
        <w:tc>
          <w:tcPr>
            <w:tcW w:type="dxa" w:w="1440"/>
            <w:vAlign w:val="top"/>
          </w:tcPr>
          <w:p>
            <w:r/>
            <w:r>
              <w:rPr>
                <w:b w:val="0"/>
                <w:sz w:val="17"/>
              </w:rPr>
              <w:t>21.07.2008 or related date</w:t>
            </w:r>
          </w:p>
        </w:tc>
        <w:tc>
          <w:tcPr>
            <w:tcW w:type="dxa" w:w="1872"/>
            <w:vAlign w:val="top"/>
          </w:tcPr>
          <w:p>
            <w:r/>
            <w:r>
              <w:rPr>
                <w:b w:val="0"/>
                <w:sz w:val="17"/>
              </w:rPr>
              <w:t>XENION</w:t>
            </w:r>
          </w:p>
        </w:tc>
        <w:tc>
          <w:tcPr>
            <w:tcW w:type="dxa" w:w="3456"/>
            <w:vAlign w:val="top"/>
          </w:tcPr>
          <w:p>
            <w:r/>
            <w:r>
              <w:rPr>
                <w:b w:val="0"/>
                <w:sz w:val="17"/>
              </w:rPr>
              <w:t>Appointment slip visible with XENION address and handwritten next-appointment notation.</w:t>
            </w:r>
          </w:p>
        </w:tc>
        <w:tc>
          <w:tcPr>
            <w:tcW w:type="dxa" w:w="4320"/>
            <w:vAlign w:val="top"/>
          </w:tcPr>
          <w:p>
            <w:r/>
            <w:r>
              <w:rPr>
                <w:b w:val="0"/>
                <w:sz w:val="17"/>
              </w:rPr>
              <w:t>This is direct proof that XENION was involved in the referral chain. The handwritten entry should be verified against XENION’s appointment book and client file.</w:t>
            </w:r>
          </w:p>
        </w:tc>
      </w:tr>
      <w:tr>
        <w:tc>
          <w:tcPr>
            <w:tcW w:type="dxa" w:w="1440"/>
            <w:vAlign w:val="top"/>
          </w:tcPr>
          <w:p>
            <w:r/>
            <w:r>
              <w:rPr>
                <w:b w:val="0"/>
                <w:sz w:val="17"/>
              </w:rPr>
              <w:t>23.10.2008</w:t>
            </w:r>
          </w:p>
        </w:tc>
        <w:tc>
          <w:tcPr>
            <w:tcW w:type="dxa" w:w="1872"/>
            <w:vAlign w:val="top"/>
          </w:tcPr>
          <w:p>
            <w:r/>
            <w:r>
              <w:rPr>
                <w:b w:val="0"/>
                <w:sz w:val="17"/>
              </w:rPr>
              <w:t>ADB Berlin</w:t>
            </w:r>
          </w:p>
        </w:tc>
        <w:tc>
          <w:tcPr>
            <w:tcW w:type="dxa" w:w="3456"/>
            <w:vAlign w:val="top"/>
          </w:tcPr>
          <w:p>
            <w:r/>
            <w:r>
              <w:rPr>
                <w:b w:val="0"/>
                <w:sz w:val="17"/>
              </w:rPr>
              <w:t>ADB refers to a telephone conversation, arranges another XENION appointment on 30.10.2008 at 13:00 to discuss the mentor programme and recommends Caritas debt counselling.</w:t>
            </w:r>
          </w:p>
        </w:tc>
        <w:tc>
          <w:tcPr>
            <w:tcW w:type="dxa" w:w="4320"/>
            <w:vAlign w:val="top"/>
          </w:tcPr>
          <w:p>
            <w:r/>
            <w:r>
              <w:rPr>
                <w:b w:val="0"/>
                <w:sz w:val="17"/>
              </w:rPr>
              <w:t>This shows ADB/XENION knew the applicant’s situation involved psychosocial and practical support needs. Debt counselling alone could not address severe human-rights, medical, legal and protection allegations.</w:t>
            </w:r>
          </w:p>
        </w:tc>
      </w:tr>
      <w:tr>
        <w:tc>
          <w:tcPr>
            <w:tcW w:type="dxa" w:w="1440"/>
            <w:vAlign w:val="top"/>
          </w:tcPr>
          <w:p>
            <w:r/>
            <w:r>
              <w:rPr>
                <w:b w:val="0"/>
                <w:sz w:val="17"/>
              </w:rPr>
              <w:t>19.02.2009</w:t>
            </w:r>
          </w:p>
        </w:tc>
        <w:tc>
          <w:tcPr>
            <w:tcW w:type="dxa" w:w="1872"/>
            <w:vAlign w:val="top"/>
          </w:tcPr>
          <w:p>
            <w:r/>
            <w:r>
              <w:rPr>
                <w:b w:val="0"/>
                <w:sz w:val="17"/>
              </w:rPr>
              <w:t>ADB Berlin</w:t>
            </w:r>
          </w:p>
        </w:tc>
        <w:tc>
          <w:tcPr>
            <w:tcW w:type="dxa" w:w="3456"/>
            <w:vAlign w:val="top"/>
          </w:tcPr>
          <w:p>
            <w:r/>
            <w:r>
              <w:rPr>
                <w:b w:val="0"/>
                <w:sz w:val="17"/>
              </w:rPr>
              <w:t>ADB asks the applicant to come on 26.02.2009 at 17:00 because it wants to inform itself about his current situation.</w:t>
            </w:r>
          </w:p>
        </w:tc>
        <w:tc>
          <w:tcPr>
            <w:tcW w:type="dxa" w:w="4320"/>
            <w:vAlign w:val="top"/>
          </w:tcPr>
          <w:p>
            <w:r/>
            <w:r>
              <w:rPr>
                <w:b w:val="0"/>
                <w:sz w:val="17"/>
              </w:rPr>
              <w:t>This proves continuing awareness into 2009. The visible file does not show what protective steps followed, whether a case plan existed, or whether ADB/XENION escalated the matter to competent medical, legal or human-rights mechanisms.</w:t>
            </w:r>
          </w:p>
        </w:tc>
      </w:tr>
    </w:tbl>
    <w:p/>
    <w:p>
      <w:pPr>
        <w:pStyle w:val="Heading1"/>
      </w:pPr>
      <w:r>
        <w:t>IV. Issues of Institutional Awareness</w:t>
      </w:r>
    </w:p>
    <w:p>
      <w:r>
        <w:rPr>
          <w:sz w:val="20"/>
        </w:rPr>
        <w:t>The file demonstrates that ADB Berlin had direct contact with the applicant and repeatedly arranged appointments with XENION. It also demonstrates that XENION was identified as the specialist psychosocial human-rights support organisation. Therefore, the matter cannot be framed as a case in which no organisation was aware of the applicant’s existence or vulnerability.</w:t>
      </w:r>
    </w:p>
    <w:p>
      <w:r>
        <w:rPr>
          <w:sz w:val="20"/>
        </w:rPr>
        <w:t>The visible documents do not themselves contain the full complaint package. However, the wider legal-report context shows that by 2008 the applicant’s core allegations already concerned detention, medical neglect, legal obstruction, ECHR proceedings, serious illness, psychiatric issues, disability and lack of effective remedy. When this ADB/XENION file is read together with Reports No. 01, 02, 03, 006, 007, 008 and the Amnesty/DRK/AIDS-Hilfe materials, the referral must be analysed as part of a wider institutional-notice chain, not as an ordinary social appointment.</w:t>
      </w:r>
    </w:p>
    <w:p>
      <w:pPr>
        <w:pStyle w:val="Heading1"/>
      </w:pPr>
      <w:r>
        <w:t>V. What ADB and XENION Appear to Have Done</w:t>
      </w:r>
    </w:p>
    <w:p>
      <w:pPr>
        <w:pStyle w:val="ListBullet"/>
      </w:pPr>
      <w:r>
        <w:rPr>
          <w:sz w:val="20"/>
        </w:rPr>
        <w:t>ADB communicated in writing with the applicant in June 2008, October 2008 and February 2009.</w:t>
      </w:r>
    </w:p>
    <w:p>
      <w:pPr>
        <w:pStyle w:val="ListBullet"/>
      </w:pPr>
      <w:r>
        <w:rPr>
          <w:sz w:val="20"/>
        </w:rPr>
        <w:t>ADB arranged several appointments at XENION, including 30.06.2008, 08.07.2008, 21.07.2008 and 30.10.2008.</w:t>
      </w:r>
    </w:p>
    <w:p>
      <w:pPr>
        <w:pStyle w:val="ListBullet"/>
      </w:pPr>
      <w:r>
        <w:rPr>
          <w:sz w:val="20"/>
        </w:rPr>
        <w:t>ADB indicated that an ADB employee would accompany the applicant or that accompaniment would be attempted.</w:t>
      </w:r>
    </w:p>
    <w:p>
      <w:pPr>
        <w:pStyle w:val="ListBullet"/>
      </w:pPr>
      <w:r>
        <w:rPr>
          <w:sz w:val="20"/>
        </w:rPr>
        <w:t>ADB sent or re-sent a copy of a Versorgungsamt response.</w:t>
      </w:r>
    </w:p>
    <w:p>
      <w:pPr>
        <w:pStyle w:val="ListBullet"/>
      </w:pPr>
      <w:r>
        <w:rPr>
          <w:sz w:val="20"/>
        </w:rPr>
        <w:t>ADB recommended Caritas debt counselling in October 2008.</w:t>
      </w:r>
    </w:p>
    <w:p>
      <w:pPr>
        <w:pStyle w:val="ListBullet"/>
      </w:pPr>
      <w:r>
        <w:rPr>
          <w:sz w:val="20"/>
        </w:rPr>
        <w:t>XENION issued or is linked to an appointment slip identifying its psychosocial-help address and appointment information.</w:t>
      </w:r>
    </w:p>
    <w:p>
      <w:pPr>
        <w:pStyle w:val="Heading1"/>
      </w:pPr>
      <w:r>
        <w:t>VI. What Is Not Visible in the File</w:t>
      </w:r>
    </w:p>
    <w:p>
      <w:r>
        <w:rPr>
          <w:sz w:val="20"/>
        </w:rPr>
        <w:t>The most legally important point is the absence of visible protective follow-up. The seven-page file shows appointment management and referrals, but it does not show the following:</w:t>
      </w:r>
    </w:p>
    <w:p>
      <w:pPr>
        <w:pStyle w:val="ListBullet"/>
      </w:pPr>
      <w:r>
        <w:rPr>
          <w:sz w:val="20"/>
        </w:rPr>
        <w:t>a written assessment of the applicant’s discrimination complaint;</w:t>
      </w:r>
    </w:p>
    <w:p>
      <w:pPr>
        <w:pStyle w:val="ListBullet"/>
      </w:pPr>
      <w:r>
        <w:rPr>
          <w:sz w:val="20"/>
        </w:rPr>
        <w:t>a written assessment of medical or suicide-risk urgency;</w:t>
      </w:r>
    </w:p>
    <w:p>
      <w:pPr>
        <w:pStyle w:val="ListBullet"/>
      </w:pPr>
      <w:r>
        <w:rPr>
          <w:sz w:val="20"/>
        </w:rPr>
        <w:t>a trauma-informed psychosocial case plan;</w:t>
      </w:r>
    </w:p>
    <w:p>
      <w:pPr>
        <w:pStyle w:val="ListBullet"/>
      </w:pPr>
      <w:r>
        <w:rPr>
          <w:sz w:val="20"/>
        </w:rPr>
        <w:t>a written referral to specialised lawyers or emergency legal aid regarding detention, medical neglect, forced psychiatry or court-access obstruction;</w:t>
      </w:r>
    </w:p>
    <w:p>
      <w:pPr>
        <w:pStyle w:val="ListBullet"/>
      </w:pPr>
      <w:r>
        <w:rPr>
          <w:sz w:val="20"/>
        </w:rPr>
        <w:t>a documented complaint to public authorities, oversight bodies or funding authorities;</w:t>
      </w:r>
    </w:p>
    <w:p>
      <w:pPr>
        <w:pStyle w:val="ListBullet"/>
      </w:pPr>
      <w:r>
        <w:rPr>
          <w:sz w:val="20"/>
        </w:rPr>
        <w:t>a documented request for medical records, interpreter support or disability-access accommodations;</w:t>
      </w:r>
    </w:p>
    <w:p>
      <w:pPr>
        <w:pStyle w:val="ListBullet"/>
      </w:pPr>
      <w:r>
        <w:rPr>
          <w:sz w:val="20"/>
        </w:rPr>
        <w:t>a written analysis of whether the case involved anti-discrimination law, disability rights, health-access rights, migrant/refugee protection or torture/ill-treatment obligations;</w:t>
      </w:r>
    </w:p>
    <w:p>
      <w:pPr>
        <w:pStyle w:val="ListBullet"/>
      </w:pPr>
      <w:r>
        <w:rPr>
          <w:sz w:val="20"/>
        </w:rPr>
        <w:t>any final written decision explaining why ADB/XENION did not intervene more substantially;</w:t>
      </w:r>
    </w:p>
    <w:p>
      <w:pPr>
        <w:pStyle w:val="ListBullet"/>
      </w:pPr>
      <w:r>
        <w:rPr>
          <w:sz w:val="20"/>
        </w:rPr>
        <w:t>any documented escalation to UN, ECHR-support networks, anti-torture organisations, disability-rights bodies or independent medical experts.</w:t>
      </w:r>
    </w:p>
    <w:p>
      <w:pPr>
        <w:pStyle w:val="Heading1"/>
      </w:pPr>
      <w:r>
        <w:t>VII. Legal and Ethical Framework Potentially Engaged</w:t>
      </w:r>
    </w:p>
    <w:p>
      <w:r>
        <w:rPr>
          <w:sz w:val="20"/>
        </w:rPr>
        <w:t>ADB and XENION are not courts and are not identical to the German State. Nevertheless, as specialised anti-discrimination, human-rights and psychosocial organisations, their conduct may be evaluated under mandate-based duties, professional-care principles, non-discrimination standards and Germany’s positive-obligation environment if they were publicly funded, delegated, cooperating with state structures or holding themselves out as specialist assistance bodies.</w:t>
      </w:r>
    </w:p>
    <w:tbl>
      <w:tblPr>
        <w:tblStyle w:val="TableGrid"/>
        <w:tblW w:type="auto" w:w="0"/>
        <w:jc w:val="center"/>
        <w:tblLook w:firstColumn="1" w:firstRow="1" w:lastColumn="0" w:lastRow="0" w:noHBand="0" w:noVBand="1" w:val="04A0"/>
      </w:tblPr>
      <w:tblGrid>
        <w:gridCol w:w="5040"/>
        <w:gridCol w:w="5040"/>
      </w:tblGrid>
      <w:tr>
        <w:tc>
          <w:tcPr>
            <w:tcW w:type="dxa" w:w="3312"/>
            <w:vAlign w:val="top"/>
            <w:shd w:fill="D9EAF7"/>
          </w:tcPr>
          <w:p>
            <w:r/>
            <w:r>
              <w:rPr>
                <w:b/>
                <w:sz w:val="17"/>
              </w:rPr>
              <w:t>Framework</w:t>
            </w:r>
          </w:p>
        </w:tc>
        <w:tc>
          <w:tcPr>
            <w:tcW w:type="dxa" w:w="7344"/>
            <w:vAlign w:val="top"/>
            <w:shd w:fill="D9EAF7"/>
          </w:tcPr>
          <w:p>
            <w:r/>
            <w:r>
              <w:rPr>
                <w:b/>
                <w:sz w:val="17"/>
              </w:rPr>
              <w:t>Relevance to this file</w:t>
            </w:r>
          </w:p>
        </w:tc>
      </w:tr>
      <w:tr>
        <w:tc>
          <w:tcPr>
            <w:tcW w:type="dxa" w:w="3312"/>
            <w:vAlign w:val="top"/>
          </w:tcPr>
          <w:p>
            <w:r/>
            <w:r>
              <w:rPr>
                <w:b w:val="0"/>
                <w:sz w:val="17"/>
              </w:rPr>
              <w:t>German Basic Law, Articles 1 and 2</w:t>
            </w:r>
          </w:p>
        </w:tc>
        <w:tc>
          <w:tcPr>
            <w:tcW w:type="dxa" w:w="7344"/>
            <w:vAlign w:val="top"/>
          </w:tcPr>
          <w:p>
            <w:r/>
            <w:r>
              <w:rPr>
                <w:b w:val="0"/>
                <w:sz w:val="17"/>
              </w:rPr>
              <w:t>Human dignity, bodily integrity and life are the background rights engaged by the applicant’s situation. Organisations receiving such a case should not reduce it to ordinary scheduling if there is visible risk of serious harm.</w:t>
            </w:r>
          </w:p>
        </w:tc>
      </w:tr>
      <w:tr>
        <w:tc>
          <w:tcPr>
            <w:tcW w:type="dxa" w:w="3312"/>
            <w:vAlign w:val="top"/>
          </w:tcPr>
          <w:p>
            <w:r/>
            <w:r>
              <w:rPr>
                <w:b w:val="0"/>
                <w:sz w:val="17"/>
              </w:rPr>
              <w:t>German Basic Law, Article 3 and anti-discrimination principles</w:t>
            </w:r>
          </w:p>
        </w:tc>
        <w:tc>
          <w:tcPr>
            <w:tcW w:type="dxa" w:w="7344"/>
            <w:vAlign w:val="top"/>
          </w:tcPr>
          <w:p>
            <w:r/>
            <w:r>
              <w:rPr>
                <w:b w:val="0"/>
                <w:sz w:val="17"/>
              </w:rPr>
              <w:t>The ADB role specifically concerns discrimination. ADB should have assessed whether the applicant’s foreign origin, disability, illness, residence status or language barriers affected access to protection.</w:t>
            </w:r>
          </w:p>
        </w:tc>
      </w:tr>
      <w:tr>
        <w:tc>
          <w:tcPr>
            <w:tcW w:type="dxa" w:w="3312"/>
            <w:vAlign w:val="top"/>
          </w:tcPr>
          <w:p>
            <w:r/>
            <w:r>
              <w:rPr>
                <w:b w:val="0"/>
                <w:sz w:val="17"/>
              </w:rPr>
              <w:t>ECHR Articles 2, 3, 5, 6, 8, 13, 14 and 34</w:t>
            </w:r>
          </w:p>
        </w:tc>
        <w:tc>
          <w:tcPr>
            <w:tcW w:type="dxa" w:w="7344"/>
            <w:vAlign w:val="top"/>
          </w:tcPr>
          <w:p>
            <w:r/>
            <w:r>
              <w:rPr>
                <w:b w:val="0"/>
                <w:sz w:val="17"/>
              </w:rPr>
              <w:t>These articles are primarily binding on the State, but the applicant’s submissions and the referral chain concerned life, inhuman treatment, liberty, fair trial, private life, effective remedy, non-discrimination and access to Strasbourg.</w:t>
            </w:r>
          </w:p>
        </w:tc>
      </w:tr>
      <w:tr>
        <w:tc>
          <w:tcPr>
            <w:tcW w:type="dxa" w:w="3312"/>
            <w:vAlign w:val="top"/>
          </w:tcPr>
          <w:p>
            <w:r/>
            <w:r>
              <w:rPr>
                <w:b w:val="0"/>
                <w:sz w:val="17"/>
              </w:rPr>
              <w:t>ICCPR Articles 6, 7, 9, 14, 17 and 26</w:t>
            </w:r>
          </w:p>
        </w:tc>
        <w:tc>
          <w:tcPr>
            <w:tcW w:type="dxa" w:w="7344"/>
            <w:vAlign w:val="top"/>
          </w:tcPr>
          <w:p>
            <w:r/>
            <w:r>
              <w:rPr>
                <w:b w:val="0"/>
                <w:sz w:val="17"/>
              </w:rPr>
              <w:t>These standards frame the seriousness of the underlying allegations and the need for effective assistance or referral.</w:t>
            </w:r>
          </w:p>
        </w:tc>
      </w:tr>
      <w:tr>
        <w:tc>
          <w:tcPr>
            <w:tcW w:type="dxa" w:w="3312"/>
            <w:vAlign w:val="top"/>
          </w:tcPr>
          <w:p>
            <w:r/>
            <w:r>
              <w:rPr>
                <w:b w:val="0"/>
                <w:sz w:val="17"/>
              </w:rPr>
              <w:t>CAT Articles 12, 13, 14 and 16</w:t>
            </w:r>
          </w:p>
        </w:tc>
        <w:tc>
          <w:tcPr>
            <w:tcW w:type="dxa" w:w="7344"/>
            <w:vAlign w:val="top"/>
          </w:tcPr>
          <w:p>
            <w:r/>
            <w:r>
              <w:rPr>
                <w:b w:val="0"/>
                <w:sz w:val="17"/>
              </w:rPr>
              <w:t>If the applicant alleged ill-treatment, detention violence or forced psychiatric abuse, a specialist organisation should have considered referral to competent complaint and rehabilitation structures.</w:t>
            </w:r>
          </w:p>
        </w:tc>
      </w:tr>
      <w:tr>
        <w:tc>
          <w:tcPr>
            <w:tcW w:type="dxa" w:w="3312"/>
            <w:vAlign w:val="top"/>
          </w:tcPr>
          <w:p>
            <w:r/>
            <w:r>
              <w:rPr>
                <w:b w:val="0"/>
                <w:sz w:val="17"/>
              </w:rPr>
              <w:t>CRPD Articles 5, 12, 13, 14, 15, 17 and 25</w:t>
            </w:r>
          </w:p>
        </w:tc>
        <w:tc>
          <w:tcPr>
            <w:tcW w:type="dxa" w:w="7344"/>
            <w:vAlign w:val="top"/>
          </w:tcPr>
          <w:p>
            <w:r/>
            <w:r>
              <w:rPr>
                <w:b w:val="0"/>
                <w:sz w:val="17"/>
              </w:rPr>
              <w:t>Disability, legal capacity, access to justice, deprivation of liberty, integrity and health-care access were central to the applicant’s wider case.</w:t>
            </w:r>
          </w:p>
        </w:tc>
      </w:tr>
      <w:tr>
        <w:tc>
          <w:tcPr>
            <w:tcW w:type="dxa" w:w="3312"/>
            <w:vAlign w:val="top"/>
          </w:tcPr>
          <w:p>
            <w:r/>
            <w:r>
              <w:rPr>
                <w:b w:val="0"/>
                <w:sz w:val="17"/>
              </w:rPr>
              <w:t>ICESCR Articles 9, 11 and 12</w:t>
            </w:r>
          </w:p>
        </w:tc>
        <w:tc>
          <w:tcPr>
            <w:tcW w:type="dxa" w:w="7344"/>
            <w:vAlign w:val="top"/>
          </w:tcPr>
          <w:p>
            <w:r/>
            <w:r>
              <w:rPr>
                <w:b w:val="0"/>
                <w:sz w:val="17"/>
              </w:rPr>
              <w:t>Social security, adequate living conditions and health rights are relevant to the applicant’s housing, medical and subsistence allegations.</w:t>
            </w:r>
          </w:p>
        </w:tc>
      </w:tr>
      <w:tr>
        <w:tc>
          <w:tcPr>
            <w:tcW w:type="dxa" w:w="3312"/>
            <w:vAlign w:val="top"/>
          </w:tcPr>
          <w:p>
            <w:r/>
            <w:r>
              <w:rPr>
                <w:b w:val="0"/>
                <w:sz w:val="17"/>
              </w:rPr>
              <w:t>EU and German anti-discrimination norms, including AGG principles</w:t>
            </w:r>
          </w:p>
        </w:tc>
        <w:tc>
          <w:tcPr>
            <w:tcW w:type="dxa" w:w="7344"/>
            <w:vAlign w:val="top"/>
          </w:tcPr>
          <w:p>
            <w:r/>
            <w:r>
              <w:rPr>
                <w:b w:val="0"/>
                <w:sz w:val="17"/>
              </w:rPr>
              <w:t>If the applicant’s treatment involved discrimination based on disability, ethnic origin, illness or residence status, ADB should have documented and assessed the claim within its anti-discrimination mandate.</w:t>
            </w:r>
          </w:p>
        </w:tc>
      </w:tr>
      <w:tr>
        <w:tc>
          <w:tcPr>
            <w:tcW w:type="dxa" w:w="3312"/>
            <w:vAlign w:val="top"/>
          </w:tcPr>
          <w:p>
            <w:r/>
            <w:r>
              <w:rPr>
                <w:b w:val="0"/>
                <w:sz w:val="17"/>
              </w:rPr>
              <w:t>Professional ethics and trauma-informed support principles</w:t>
            </w:r>
          </w:p>
        </w:tc>
        <w:tc>
          <w:tcPr>
            <w:tcW w:type="dxa" w:w="7344"/>
            <w:vAlign w:val="top"/>
          </w:tcPr>
          <w:p>
            <w:r/>
            <w:r>
              <w:rPr>
                <w:b w:val="0"/>
                <w:sz w:val="17"/>
              </w:rPr>
              <w:t>For a person claiming torture, persecution, severe illness, suicidal crisis or psychiatric misuse, mere appointment referral is not enough if risk is acute and repeated.</w:t>
            </w:r>
          </w:p>
        </w:tc>
      </w:tr>
    </w:tbl>
    <w:p/>
    <w:p>
      <w:pPr>
        <w:pStyle w:val="Heading1"/>
      </w:pPr>
      <w:r>
        <w:t>VIII. Duties and Expected Protective Steps Within Mandate</w:t>
      </w:r>
    </w:p>
    <w:p>
      <w:r>
        <w:rPr>
          <w:sz w:val="20"/>
        </w:rPr>
        <w:t>The strongest legal point is not that ADB or XENION had the same legal duties as a court. The stronger point is that, once they accepted contact and arranged specialist appointments, they should have taken reasonable protective steps within their mandate. These may include:</w:t>
      </w:r>
    </w:p>
    <w:p>
      <w:pPr>
        <w:pStyle w:val="ListNumber"/>
      </w:pPr>
      <w:r>
        <w:rPr>
          <w:sz w:val="20"/>
        </w:rPr>
        <w:t>creating a written intake note and risk assessment, including medical risk, housing risk, suicide-risk language, disability and language barriers;</w:t>
      </w:r>
    </w:p>
    <w:p>
      <w:pPr>
        <w:pStyle w:val="ListNumber"/>
      </w:pPr>
      <w:r>
        <w:rPr>
          <w:sz w:val="20"/>
        </w:rPr>
        <w:t>identifying whether the case was anti-discrimination, trauma, torture-survivor, migrant/refugee, disability-rights, health-access or legal-aid related;</w:t>
      </w:r>
    </w:p>
    <w:p>
      <w:pPr>
        <w:pStyle w:val="ListNumber"/>
      </w:pPr>
      <w:r>
        <w:rPr>
          <w:sz w:val="20"/>
        </w:rPr>
        <w:t>providing or arranging interpretation so that the applicant could present the matter accurately;</w:t>
      </w:r>
    </w:p>
    <w:p>
      <w:pPr>
        <w:pStyle w:val="ListNumber"/>
      </w:pPr>
      <w:r>
        <w:rPr>
          <w:sz w:val="20"/>
        </w:rPr>
        <w:t>making a written referral to competent lawyers, medical experts, social-benefit advisers, psychiatric-independent experts or human-rights mechanisms;</w:t>
      </w:r>
    </w:p>
    <w:p>
      <w:pPr>
        <w:pStyle w:val="ListNumber"/>
      </w:pPr>
      <w:r>
        <w:rPr>
          <w:sz w:val="20"/>
        </w:rPr>
        <w:t>recording whether XENION could or could not accept the case and why;</w:t>
      </w:r>
    </w:p>
    <w:p>
      <w:pPr>
        <w:pStyle w:val="ListNumber"/>
      </w:pPr>
      <w:r>
        <w:rPr>
          <w:sz w:val="20"/>
        </w:rPr>
        <w:t>not reducing the case to debt counselling where the applicant’s wider file concerned life, health, detention, court access, forced psychiatry and alleged discrimination;</w:t>
      </w:r>
    </w:p>
    <w:p>
      <w:pPr>
        <w:pStyle w:val="ListNumber"/>
      </w:pPr>
      <w:r>
        <w:rPr>
          <w:sz w:val="20"/>
        </w:rPr>
        <w:t>issuing written confirmations, appointment outcomes and reasons for any refusal or inability to act;</w:t>
      </w:r>
    </w:p>
    <w:p>
      <w:pPr>
        <w:pStyle w:val="ListNumber"/>
      </w:pPr>
      <w:r>
        <w:rPr>
          <w:sz w:val="20"/>
        </w:rPr>
        <w:t>where acute danger was presented, considering emergency safeguarding steps, crisis-service referral and preservation of the applicant’s documentary evidence;</w:t>
      </w:r>
    </w:p>
    <w:p>
      <w:pPr>
        <w:pStyle w:val="ListNumber"/>
      </w:pPr>
      <w:r>
        <w:rPr>
          <w:sz w:val="20"/>
        </w:rPr>
        <w:t>ensuring that organisational handoff did not become circular referral: ADB to XENION, XENION back to ADB, ADB to debt counselling, without substantive case protection.</w:t>
      </w:r>
    </w:p>
    <w:p>
      <w:pPr>
        <w:pStyle w:val="Heading1"/>
      </w:pPr>
      <w:r>
        <w:t>IX. Preliminary Legal Assessment by ChatGPT</w:t>
      </w:r>
    </w:p>
    <w:p>
      <w:r>
        <w:rPr>
          <w:sz w:val="20"/>
        </w:rPr>
        <w:t>Based on the visible file, ADB Berlin did take some concrete steps: it communicated with the applicant, arranged XENION appointments, offered or attempted accompaniment and recommended debt counselling. These steps should be acknowledged because the documents show activity rather than total silence.</w:t>
      </w:r>
    </w:p>
    <w:p>
      <w:r>
        <w:rPr>
          <w:sz w:val="20"/>
        </w:rPr>
        <w:t>However, the same documents also reveal a serious limitation: the visible action appears to remain at the level of appointments and referrals. There is no visible substantive human-rights assessment, anti-discrimination analysis, urgent protection plan, independent medical/legal referral, written outcome from XENION, or escalation of the applicant’s severe allegations. In a case involving serious illness, disability, claimed state-created harm, ECHR proceedings and reported life-threatening despair, such a limited response may be legally and ethically inadequate.</w:t>
      </w:r>
    </w:p>
    <w:p>
      <w:r>
        <w:rPr>
          <w:sz w:val="20"/>
        </w:rPr>
        <w:t>The most accurate legal formulation is therefore: ADB and XENION were not direct perpetrators of the underlying alleged German state violations, but the documentary file supports a finding that they were placed on notice of the applicant’s vulnerability and were involved in a referral chain. If no substantive follow-up exists in their internal files, the matter may constitute institutional failure of protective function within the scope of specialised anti-discrimination and psychosocial-human-rights assistance.</w:t>
      </w:r>
    </w:p>
    <w:p>
      <w:pPr>
        <w:pStyle w:val="Heading1"/>
      </w:pPr>
      <w:r>
        <w:t>X. Findings</w:t>
      </w:r>
    </w:p>
    <w:p>
      <w:pPr>
        <w:pStyle w:val="ListBullet"/>
      </w:pPr>
      <w:r>
        <w:rPr>
          <w:sz w:val="20"/>
        </w:rPr>
        <w:t>The ADB/XENION file proves institutional contact in 2008-2009.</w:t>
      </w:r>
    </w:p>
    <w:p>
      <w:pPr>
        <w:pStyle w:val="ListBullet"/>
      </w:pPr>
      <w:r>
        <w:rPr>
          <w:sz w:val="20"/>
        </w:rPr>
        <w:t>ADB arranged multiple XENION appointments and acknowledged the need for accompaniment.</w:t>
      </w:r>
    </w:p>
    <w:p>
      <w:pPr>
        <w:pStyle w:val="ListBullet"/>
      </w:pPr>
      <w:r>
        <w:rPr>
          <w:sz w:val="20"/>
        </w:rPr>
        <w:t>XENION is directly named and appears through an appointment slip, making it part of the notice chain.</w:t>
      </w:r>
    </w:p>
    <w:p>
      <w:pPr>
        <w:pStyle w:val="ListBullet"/>
      </w:pPr>
      <w:r>
        <w:rPr>
          <w:sz w:val="20"/>
        </w:rPr>
        <w:t>The visible file does not show a substantive legal, medical, anti-discrimination or human-rights case assessment.</w:t>
      </w:r>
    </w:p>
    <w:p>
      <w:pPr>
        <w:pStyle w:val="ListBullet"/>
      </w:pPr>
      <w:r>
        <w:rPr>
          <w:sz w:val="20"/>
        </w:rPr>
        <w:t>The visible file does not show whether ADB/XENION obtained or reviewed the applicant’s wider evidence materials.</w:t>
      </w:r>
    </w:p>
    <w:p>
      <w:pPr>
        <w:pStyle w:val="ListBullet"/>
      </w:pPr>
      <w:r>
        <w:rPr>
          <w:sz w:val="20"/>
        </w:rPr>
        <w:t>The visible file does not show that ADB/XENION escalated the matter despite the applicant’s wider documented history and vulnerability.</w:t>
      </w:r>
    </w:p>
    <w:p>
      <w:pPr>
        <w:pStyle w:val="ListBullet"/>
      </w:pPr>
      <w:r>
        <w:rPr>
          <w:sz w:val="20"/>
        </w:rPr>
        <w:t>Further records are essential: ADB case notes, XENION intake file, appointment records, attendance notes, correspondence, emails, staff notes, referral letters and any final decision or closure note.</w:t>
      </w:r>
    </w:p>
    <w:p>
      <w:pPr>
        <w:pStyle w:val="Heading1"/>
      </w:pPr>
      <w:r>
        <w:t>XI. Required Record Requests</w:t>
      </w:r>
    </w:p>
    <w:p>
      <w:pPr>
        <w:pStyle w:val="ListBullet"/>
      </w:pPr>
      <w:r>
        <w:rPr>
          <w:sz w:val="20"/>
        </w:rPr>
        <w:t>Complete ADB Berlin file for Ismail Rustam / Rustem Ismail / Rustem Azeri, including intake notes and all correspondence.</w:t>
      </w:r>
    </w:p>
    <w:p>
      <w:pPr>
        <w:pStyle w:val="ListBullet"/>
      </w:pPr>
      <w:r>
        <w:rPr>
          <w:sz w:val="20"/>
        </w:rPr>
        <w:t>Complete XENION file, including appointment records, therapist/social-worker notes, referral decisions and closure notes.</w:t>
      </w:r>
    </w:p>
    <w:p>
      <w:pPr>
        <w:pStyle w:val="ListBullet"/>
      </w:pPr>
      <w:r>
        <w:rPr>
          <w:sz w:val="20"/>
        </w:rPr>
        <w:t>Records showing whether an ADB employee accompanied the applicant to XENION and what was discussed.</w:t>
      </w:r>
    </w:p>
    <w:p>
      <w:pPr>
        <w:pStyle w:val="ListBullet"/>
      </w:pPr>
      <w:r>
        <w:rPr>
          <w:sz w:val="20"/>
        </w:rPr>
        <w:t>Records concerning the Versorgungsamt response mentioned by ADB on 30.06.2008.</w:t>
      </w:r>
    </w:p>
    <w:p>
      <w:pPr>
        <w:pStyle w:val="ListBullet"/>
      </w:pPr>
      <w:r>
        <w:rPr>
          <w:sz w:val="20"/>
        </w:rPr>
        <w:t>Any mentor-programme documents referenced in the 23.10.2008 letter.</w:t>
      </w:r>
    </w:p>
    <w:p>
      <w:pPr>
        <w:pStyle w:val="ListBullet"/>
      </w:pPr>
      <w:r>
        <w:rPr>
          <w:sz w:val="20"/>
        </w:rPr>
        <w:t>Any communication between ADB, XENION, Caritas, Versorgungsamt, social authorities, lawyers or medical services concerning the applicant.</w:t>
      </w:r>
    </w:p>
    <w:p>
      <w:pPr>
        <w:pStyle w:val="ListBullet"/>
      </w:pPr>
      <w:r>
        <w:rPr>
          <w:sz w:val="20"/>
        </w:rPr>
        <w:t>Any internal decision explaining why the applicant’s case was not escalated as an anti-discrimination, disability, human-rights, torture/ill-treatment or urgent medical/legal protection case.</w:t>
      </w:r>
    </w:p>
    <w:p>
      <w:pPr>
        <w:pStyle w:val="Heading1"/>
      </w:pPr>
      <w:r>
        <w:t>XII. Final Conclusion</w:t>
      </w:r>
    </w:p>
    <w:p>
      <w:r>
        <w:rPr>
          <w:sz w:val="20"/>
        </w:rPr>
        <w:t>Report No. 5 should be used as a specialised institutional-notice report concerning ADB Berlin and XENION. The file shows that the applicant did not remain entirely unknown to the anti-discrimination and psychosocial-human-rights support field in Berlin. The organisations were at least involved in appointment coordination and referral. The unresolved question is whether this involvement remained superficial and whether, despite notice of serious vulnerability, the institutions failed to use their mandate to protect, document, refer, escalate or explain their non-intervention.</w:t>
      </w:r>
    </w:p>
    <w:p>
      <w:r>
        <w:rPr>
          <w:sz w:val="20"/>
        </w:rPr>
        <w:t>This report therefore classifies the ADB/XENION file as evidence of institutional awareness and possible inadequate protective follow-up. It should be read together with Reports No. 1-4 and 01-008, because those reports show the wider alleged chain of violations about which specialised organisations in Berlin were, or should have been, made aware during the same period.</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Legal Analysis Report No. 5 | ADB Berlin / XENION | AI-assisted documentary analysis |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1F4E7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