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4E79"/>
          <w:sz w:val="32"/>
        </w:rPr>
        <w:t>LEGAL ANALYSIS REPORT No. 6</w:t>
      </w:r>
    </w:p>
    <w:p>
      <w:pPr>
        <w:jc w:val="center"/>
      </w:pPr>
      <w:r>
        <w:rPr>
          <w:rFonts w:ascii="Arial" w:hAnsi="Arial"/>
          <w:b/>
          <w:color w:val="1F4E79"/>
          <w:sz w:val="24"/>
        </w:rPr>
        <w:t>BZFO / ZFM - Behandlungszentrum für Folteropfer e.V. / Zentrum für Flüchtlingshilfen und Migrationsdienste</w:t>
      </w:r>
    </w:p>
    <w:p>
      <w:pPr>
        <w:jc w:val="center"/>
      </w:pPr>
      <w:r>
        <w:rPr>
          <w:rFonts w:ascii="Arial" w:hAnsi="Arial"/>
          <w:i/>
          <w:sz w:val="20"/>
        </w:rPr>
        <w:t>Documentary Legal Analysis of Institutional Notice, Submitted CD/DVD Evidence, Bundestag-Related Materials, and Non-Visible Protective Intervention</w:t>
      </w:r>
    </w:p>
    <w:tbl>
      <w:tblPr>
        <w:tblStyle w:val="TableGrid"/>
        <w:tblW w:type="auto" w:w="0"/>
        <w:jc w:val="center"/>
        <w:tblLook w:firstColumn="1" w:firstRow="1" w:lastColumn="0" w:lastRow="0" w:noHBand="0" w:noVBand="1" w:val="04A0"/>
      </w:tblPr>
      <w:tblGrid>
        <w:gridCol w:w="5040"/>
        <w:gridCol w:w="5040"/>
      </w:tblGrid>
      <w:tr>
        <w:tc>
          <w:tcPr>
            <w:tcW w:type="dxa" w:w="5040"/>
            <w:vAlign w:val="top"/>
            <w:shd w:fill="D9EAF7"/>
          </w:tcPr>
          <w:p>
            <w:r/>
            <w:r>
              <w:rPr>
                <w:rFonts w:ascii="Arial" w:hAnsi="Arial" w:eastAsia="Arial"/>
                <w:b/>
                <w:sz w:val="17"/>
              </w:rPr>
              <w:t>Applicant</w:t>
            </w:r>
          </w:p>
        </w:tc>
        <w:tc>
          <w:tcPr>
            <w:tcW w:type="dxa" w:w="5040"/>
            <w:vAlign w:val="top"/>
            <w:shd w:fill="D9EAF7"/>
          </w:tcPr>
          <w:p>
            <w:r/>
            <w:r>
              <w:rPr>
                <w:rFonts w:ascii="Arial" w:hAnsi="Arial" w:eastAsia="Arial"/>
                <w:b w:val="0"/>
                <w:sz w:val="17"/>
              </w:rPr>
              <w:t>Ismail Rustam / Rustem Ismail / Rustem-Azeri, Wichmannstr. 9, 10787 Berlin</w:t>
            </w:r>
          </w:p>
        </w:tc>
      </w:tr>
      <w:tr>
        <w:tc>
          <w:tcPr>
            <w:tcW w:type="dxa" w:w="5040"/>
            <w:vAlign w:val="top"/>
          </w:tcPr>
          <w:p>
            <w:r/>
            <w:r>
              <w:rPr>
                <w:rFonts w:ascii="Arial" w:hAnsi="Arial" w:eastAsia="Arial"/>
                <w:b/>
                <w:sz w:val="17"/>
              </w:rPr>
              <w:t>Institution analysed</w:t>
            </w:r>
          </w:p>
        </w:tc>
        <w:tc>
          <w:tcPr>
            <w:tcW w:type="dxa" w:w="5040"/>
            <w:vAlign w:val="top"/>
          </w:tcPr>
          <w:p>
            <w:r/>
            <w:r>
              <w:rPr>
                <w:rFonts w:ascii="Arial" w:hAnsi="Arial" w:eastAsia="Arial"/>
                <w:b w:val="0"/>
                <w:sz w:val="17"/>
              </w:rPr>
              <w:t>Behandlungszentrum für Folteropfer e.V. / Zentrum für Flüchtlingshilfen und Migrationsdienste (bzfo / zfm), Turmstr. 21, Haus K, 10559 Berlin</w:t>
            </w:r>
          </w:p>
        </w:tc>
      </w:tr>
      <w:tr>
        <w:tc>
          <w:tcPr>
            <w:tcW w:type="dxa" w:w="5040"/>
            <w:vAlign w:val="top"/>
          </w:tcPr>
          <w:p>
            <w:r/>
            <w:r>
              <w:rPr>
                <w:rFonts w:ascii="Arial" w:hAnsi="Arial" w:eastAsia="Arial"/>
                <w:b/>
                <w:sz w:val="17"/>
              </w:rPr>
              <w:t>Named person visible in the file</w:t>
            </w:r>
          </w:p>
        </w:tc>
        <w:tc>
          <w:tcPr>
            <w:tcW w:type="dxa" w:w="5040"/>
            <w:vAlign w:val="top"/>
          </w:tcPr>
          <w:p>
            <w:r/>
            <w:r>
              <w:rPr>
                <w:rFonts w:ascii="Arial" w:hAnsi="Arial" w:eastAsia="Arial"/>
                <w:b w:val="0"/>
                <w:sz w:val="17"/>
              </w:rPr>
              <w:t>Leiter: Dr. Joachim Rüffer</w:t>
            </w:r>
          </w:p>
        </w:tc>
      </w:tr>
      <w:tr>
        <w:tc>
          <w:tcPr>
            <w:tcW w:type="dxa" w:w="5040"/>
            <w:vAlign w:val="top"/>
          </w:tcPr>
          <w:p>
            <w:r/>
            <w:r>
              <w:rPr>
                <w:rFonts w:ascii="Arial" w:hAnsi="Arial" w:eastAsia="Arial"/>
                <w:b/>
                <w:sz w:val="17"/>
              </w:rPr>
              <w:t>Primary documentary dates</w:t>
            </w:r>
          </w:p>
        </w:tc>
        <w:tc>
          <w:tcPr>
            <w:tcW w:type="dxa" w:w="5040"/>
            <w:vAlign w:val="top"/>
          </w:tcPr>
          <w:p>
            <w:r/>
            <w:r>
              <w:rPr>
                <w:rFonts w:ascii="Arial" w:hAnsi="Arial" w:eastAsia="Arial"/>
                <w:b w:val="0"/>
                <w:sz w:val="17"/>
              </w:rPr>
              <w:t>12 June 2008; 13 April 2011; visible receipt mark on the 2011 submission; additional historical references within the 2011 application</w:t>
            </w:r>
          </w:p>
        </w:tc>
      </w:tr>
      <w:tr>
        <w:tc>
          <w:tcPr>
            <w:tcW w:type="dxa" w:w="5040"/>
            <w:vAlign w:val="top"/>
          </w:tcPr>
          <w:p>
            <w:r/>
            <w:r>
              <w:rPr>
                <w:rFonts w:ascii="Arial" w:hAnsi="Arial" w:eastAsia="Arial"/>
                <w:b/>
                <w:sz w:val="17"/>
              </w:rPr>
              <w:t>Core evidentiary issue</w:t>
            </w:r>
          </w:p>
        </w:tc>
        <w:tc>
          <w:tcPr>
            <w:tcW w:type="dxa" w:w="5040"/>
            <w:vAlign w:val="top"/>
          </w:tcPr>
          <w:p>
            <w:r/>
            <w:r>
              <w:rPr>
                <w:rFonts w:ascii="Arial" w:hAnsi="Arial" w:eastAsia="Arial"/>
                <w:b w:val="0"/>
                <w:sz w:val="17"/>
              </w:rPr>
              <w:t>The file shows that bzfo/zfm was provided with extensive materials concerning alleged torture, migration-related harm, medical neglect, court obstruction, disability, ECHR proceedings, Bundestag-related submissions and CD/DVD evidence.</w:t>
            </w:r>
          </w:p>
        </w:tc>
      </w:tr>
      <w:tr>
        <w:tc>
          <w:tcPr>
            <w:tcW w:type="dxa" w:w="5040"/>
            <w:vAlign w:val="top"/>
          </w:tcPr>
          <w:p>
            <w:r/>
            <w:r>
              <w:rPr>
                <w:rFonts w:ascii="Arial" w:hAnsi="Arial" w:eastAsia="Arial"/>
                <w:b/>
                <w:sz w:val="17"/>
              </w:rPr>
              <w:t>Special note requested by applicant</w:t>
            </w:r>
          </w:p>
        </w:tc>
        <w:tc>
          <w:tcPr>
            <w:tcW w:type="dxa" w:w="5040"/>
            <w:vAlign w:val="top"/>
          </w:tcPr>
          <w:p>
            <w:r/>
            <w:r>
              <w:rPr>
                <w:rFonts w:ascii="Arial" w:hAnsi="Arial" w:eastAsia="Arial"/>
                <w:b w:val="0"/>
                <w:sz w:val="17"/>
              </w:rPr>
              <w:t>The 12.06.2008 letter states that bzfo/zfm received copies of the applicant’s Bundestag objection of 29.05.2008 and CD/DVD material. This is significant as proof that the same Bundestag-related CD/DVD evidence package was also delivered to bzfo/zfm.</w:t>
            </w:r>
          </w:p>
        </w:tc>
      </w:tr>
      <w:tr>
        <w:tc>
          <w:tcPr>
            <w:tcW w:type="dxa" w:w="5040"/>
            <w:vAlign w:val="top"/>
          </w:tcPr>
          <w:p>
            <w:r/>
            <w:r>
              <w:rPr>
                <w:rFonts w:ascii="Arial" w:hAnsi="Arial" w:eastAsia="Arial"/>
                <w:b/>
                <w:sz w:val="17"/>
              </w:rPr>
              <w:t>Status</w:t>
            </w:r>
          </w:p>
        </w:tc>
        <w:tc>
          <w:tcPr>
            <w:tcW w:type="dxa" w:w="5040"/>
            <w:vAlign w:val="top"/>
          </w:tcPr>
          <w:p>
            <w:r/>
            <w:r>
              <w:rPr>
                <w:rFonts w:ascii="Arial" w:hAnsi="Arial" w:eastAsia="Arial"/>
                <w:b w:val="0"/>
                <w:sz w:val="17"/>
              </w:rPr>
              <w:t>AI-assisted legal-documentary analysis, not a court judgment, not legal representation and not forensic certification of originals.</w:t>
            </w:r>
          </w:p>
        </w:tc>
      </w:tr>
      <w:tr>
        <w:tc>
          <w:tcPr>
            <w:tcW w:type="dxa" w:w="5040"/>
            <w:vAlign w:val="top"/>
          </w:tcPr>
          <w:p>
            <w:r/>
            <w:r>
              <w:rPr>
                <w:rFonts w:ascii="Arial" w:hAnsi="Arial" w:eastAsia="Arial"/>
                <w:b/>
                <w:sz w:val="17"/>
              </w:rPr>
              <w:t>Evidence standard</w:t>
            </w:r>
          </w:p>
        </w:tc>
        <w:tc>
          <w:tcPr>
            <w:tcW w:type="dxa" w:w="5040"/>
            <w:vAlign w:val="top"/>
          </w:tcPr>
          <w:p>
            <w:r/>
            <w:r>
              <w:rPr>
                <w:rFonts w:ascii="Arial" w:hAnsi="Arial" w:eastAsia="Arial"/>
                <w:b w:val="0"/>
                <w:sz w:val="17"/>
              </w:rPr>
              <w:t>Documented facts visible in the scanned file are separated from applicant statements, legal assessment and verification required.</w:t>
            </w:r>
          </w:p>
        </w:tc>
      </w:tr>
    </w:tbl>
    <w:p>
      <w:r>
        <w:rPr>
          <w:rFonts w:ascii="Arial" w:hAnsi="Arial" w:eastAsia="Arial"/>
          <w:b w:val="0"/>
          <w:sz w:val="19"/>
        </w:rPr>
      </w:r>
    </w:p>
    <w:p>
      <w:pPr>
        <w:pStyle w:val="Heading1"/>
      </w:pPr>
      <w:r>
        <w:t>1. Executive Summary</w:t>
      </w:r>
    </w:p>
    <w:p>
      <w:r>
        <w:rPr>
          <w:rFonts w:ascii="Arial" w:hAnsi="Arial" w:eastAsia="Arial"/>
          <w:b w:val="0"/>
          <w:sz w:val="19"/>
        </w:rPr>
        <w:t>This report analyses a small but legally important documentary file concerning correspondence with the Behandlungszentrum für Folteropfer e.V. / Zentrum für Flüchtlingshilfen und Migrationsdienste (bzfo/zfm) in Berlin. The file is important because bzfo/zfm was an institution whose title and function concerned torture victims, refugees and migration-related assistance. The applicant’s submissions placed before that institution a detailed history of alleged detention abuse, medical neglect, psychiatric misuse, court obstruction, disability, debt/cost enforcement, European Court of Human Rights proceedings and international-law complaints.</w:t>
      </w:r>
    </w:p>
    <w:p>
      <w:r>
        <w:rPr>
          <w:rFonts w:ascii="Arial" w:hAnsi="Arial" w:eastAsia="Arial"/>
          <w:b w:val="0"/>
          <w:sz w:val="19"/>
        </w:rPr>
        <w:t>The key finding is that the documents show institutional notice. The available file does not show an effective written protective intervention, independent medical-torture assessment, legal escalation, or systematic preservation and review of the submitted evidence. This does not mean that bzfo/zfm is automatically responsible as a State authority. It means that bzfo/zfm was a specialised humanitarian and psychosocial institution informed of grave allegations and that its visible response record is incomplete or absent.</w:t>
      </w:r>
    </w:p>
    <w:p>
      <w:r>
        <w:rPr>
          <w:rFonts w:ascii="Arial" w:hAnsi="Arial" w:eastAsia="Arial"/>
          <w:b w:val="0"/>
          <w:sz w:val="19"/>
        </w:rPr>
        <w:t>The special evidentiary point requested by the applicant is preserved in this report: the 12.06.2008 letter to bzfo/zfm states that the applicant enclosed a copy of his objection to the German Bundestag dated 29.05.2008, a copy of his answer to the Kammergericht dated 12.06.2008, a copy of his complaint to the Bundesverfassungsgericht dated 10.05.2007, and CD/DVD material. This is strong documentary evidence that bzfo/zfm was provided with the Bundestag-related CD/DVD evidence package. It supports, but does not by itself replace, direct Bundestag receipt proof, which should be separately indexed if available.</w:t>
      </w:r>
    </w:p>
    <w:p>
      <w:pPr>
        <w:pStyle w:val="Heading1"/>
      </w:pPr>
      <w:r>
        <w:t>2. Chronological Register of Visible Documents</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vAlign w:val="top"/>
            <w:shd w:fill="D9EAF7"/>
          </w:tcPr>
          <w:p>
            <w:r/>
            <w:r>
              <w:rPr>
                <w:rFonts w:ascii="Arial" w:hAnsi="Arial" w:eastAsia="Arial"/>
                <w:b/>
                <w:sz w:val="17"/>
              </w:rPr>
              <w:t>Date / visible mark</w:t>
            </w:r>
          </w:p>
        </w:tc>
        <w:tc>
          <w:tcPr>
            <w:tcW w:type="dxa" w:w="2016"/>
            <w:vAlign w:val="top"/>
            <w:shd w:fill="D9EAF7"/>
          </w:tcPr>
          <w:p>
            <w:r/>
            <w:r>
              <w:rPr>
                <w:rFonts w:ascii="Arial" w:hAnsi="Arial" w:eastAsia="Arial"/>
                <w:b/>
                <w:sz w:val="17"/>
              </w:rPr>
              <w:t>Sender / recipient</w:t>
            </w:r>
          </w:p>
        </w:tc>
        <w:tc>
          <w:tcPr>
            <w:tcW w:type="dxa" w:w="2016"/>
            <w:vAlign w:val="top"/>
            <w:shd w:fill="D9EAF7"/>
          </w:tcPr>
          <w:p>
            <w:r/>
            <w:r>
              <w:rPr>
                <w:rFonts w:ascii="Arial" w:hAnsi="Arial" w:eastAsia="Arial"/>
                <w:b/>
                <w:sz w:val="17"/>
              </w:rPr>
              <w:t>Delivery or receipt evidence</w:t>
            </w:r>
          </w:p>
        </w:tc>
        <w:tc>
          <w:tcPr>
            <w:tcW w:type="dxa" w:w="2016"/>
            <w:vAlign w:val="top"/>
            <w:shd w:fill="D9EAF7"/>
          </w:tcPr>
          <w:p>
            <w:r/>
            <w:r>
              <w:rPr>
                <w:rFonts w:ascii="Arial" w:hAnsi="Arial" w:eastAsia="Arial"/>
                <w:b/>
                <w:sz w:val="17"/>
              </w:rPr>
              <w:t>Core topic</w:t>
            </w:r>
          </w:p>
        </w:tc>
        <w:tc>
          <w:tcPr>
            <w:tcW w:type="dxa" w:w="2016"/>
            <w:vAlign w:val="top"/>
            <w:shd w:fill="D9EAF7"/>
          </w:tcPr>
          <w:p>
            <w:r/>
            <w:r>
              <w:rPr>
                <w:rFonts w:ascii="Arial" w:hAnsi="Arial" w:eastAsia="Arial"/>
                <w:b/>
                <w:sz w:val="17"/>
              </w:rPr>
              <w:t>Legal-documentary significance</w:t>
            </w:r>
          </w:p>
        </w:tc>
      </w:tr>
      <w:tr>
        <w:tc>
          <w:tcPr>
            <w:tcW w:type="dxa" w:w="2016"/>
            <w:vAlign w:val="top"/>
          </w:tcPr>
          <w:p>
            <w:r/>
            <w:r>
              <w:rPr>
                <w:rFonts w:ascii="Arial" w:hAnsi="Arial" w:eastAsia="Arial"/>
                <w:b w:val="0"/>
                <w:sz w:val="17"/>
              </w:rPr>
              <w:t>12.06.2008</w:t>
            </w:r>
          </w:p>
        </w:tc>
        <w:tc>
          <w:tcPr>
            <w:tcW w:type="dxa" w:w="2016"/>
            <w:vAlign w:val="top"/>
          </w:tcPr>
          <w:p>
            <w:r/>
            <w:r>
              <w:rPr>
                <w:rFonts w:ascii="Arial" w:hAnsi="Arial" w:eastAsia="Arial"/>
                <w:b w:val="0"/>
                <w:sz w:val="17"/>
              </w:rPr>
              <w:t>Applicant to bzfo/zfm, Leiter Dr. Joachim Rüffer, Turmstr. 21, Haus K, 10559 Berlin</w:t>
            </w:r>
          </w:p>
        </w:tc>
        <w:tc>
          <w:tcPr>
            <w:tcW w:type="dxa" w:w="2016"/>
            <w:vAlign w:val="top"/>
          </w:tcPr>
          <w:p>
            <w:r/>
            <w:r>
              <w:rPr>
                <w:rFonts w:ascii="Arial" w:hAnsi="Arial" w:eastAsia="Arial"/>
                <w:b w:val="0"/>
                <w:sz w:val="17"/>
              </w:rPr>
              <w:t>Letter page bears institutional stamp at the bottom; delivery/receipt must be confirmed from original stamp and archive metadata.</w:t>
            </w:r>
          </w:p>
        </w:tc>
        <w:tc>
          <w:tcPr>
            <w:tcW w:type="dxa" w:w="2016"/>
            <w:vAlign w:val="top"/>
          </w:tcPr>
          <w:p>
            <w:r/>
            <w:r>
              <w:rPr>
                <w:rFonts w:ascii="Arial" w:hAnsi="Arial" w:eastAsia="Arial"/>
                <w:b w:val="0"/>
                <w:sz w:val="17"/>
              </w:rPr>
              <w:t>“Deutschlandpolitik über die Migration”; copy of Bundestag objection of 29.05.2008; copy of answer to Kammergericht of 12.06.2008; copy of complaint to Bundesverfassungsgericht of 10.05.2007; CD-DVD.</w:t>
            </w:r>
          </w:p>
        </w:tc>
        <w:tc>
          <w:tcPr>
            <w:tcW w:type="dxa" w:w="2016"/>
            <w:vAlign w:val="top"/>
          </w:tcPr>
          <w:p>
            <w:r/>
            <w:r>
              <w:rPr>
                <w:rFonts w:ascii="Arial" w:hAnsi="Arial" w:eastAsia="Arial"/>
                <w:b w:val="0"/>
                <w:sz w:val="17"/>
              </w:rPr>
              <w:t>Places bzfo/zfm on notice of the applicant’s Bundestag-related materials and CD/DVD evidence; demonstrates that the same evidence field was not limited to parliament but was also sent to a specialised torture/refugee institution.</w:t>
            </w:r>
          </w:p>
        </w:tc>
      </w:tr>
      <w:tr>
        <w:tc>
          <w:tcPr>
            <w:tcW w:type="dxa" w:w="2016"/>
            <w:vAlign w:val="top"/>
          </w:tcPr>
          <w:p>
            <w:r/>
            <w:r>
              <w:rPr>
                <w:rFonts w:ascii="Arial" w:hAnsi="Arial" w:eastAsia="Arial"/>
                <w:b w:val="0"/>
                <w:sz w:val="17"/>
              </w:rPr>
              <w:t>13.04.2011</w:t>
            </w:r>
          </w:p>
        </w:tc>
        <w:tc>
          <w:tcPr>
            <w:tcW w:type="dxa" w:w="2016"/>
            <w:vAlign w:val="top"/>
          </w:tcPr>
          <w:p>
            <w:r/>
            <w:r>
              <w:rPr>
                <w:rFonts w:ascii="Arial" w:hAnsi="Arial" w:eastAsia="Arial"/>
                <w:b w:val="0"/>
                <w:sz w:val="17"/>
              </w:rPr>
              <w:t>Applicant to bzfo/zfm / Behandlungszentrum für Folteropfer e.V.; Dr. Joachim Rüffer visible as addressee</w:t>
            </w:r>
          </w:p>
        </w:tc>
        <w:tc>
          <w:tcPr>
            <w:tcW w:type="dxa" w:w="2016"/>
            <w:vAlign w:val="top"/>
          </w:tcPr>
          <w:p>
            <w:r/>
            <w:r>
              <w:rPr>
                <w:rFonts w:ascii="Arial" w:hAnsi="Arial" w:eastAsia="Arial"/>
                <w:b w:val="0"/>
                <w:sz w:val="17"/>
              </w:rPr>
              <w:t>Top of page shows handwritten/receipt annotations; exact receipt date should be verified by original stamp and postal/fax records.</w:t>
            </w:r>
          </w:p>
        </w:tc>
        <w:tc>
          <w:tcPr>
            <w:tcW w:type="dxa" w:w="2016"/>
            <w:vAlign w:val="top"/>
          </w:tcPr>
          <w:p>
            <w:r/>
            <w:r>
              <w:rPr>
                <w:rFonts w:ascii="Arial" w:hAnsi="Arial" w:eastAsia="Arial"/>
                <w:b w:val="0"/>
                <w:sz w:val="17"/>
              </w:rPr>
              <w:t>“Antrag und Klage” to ECHR judges, UN Secretary General, human-rights officials and anyone with responsibility; detailed complaint about 1998-2011 chain.</w:t>
            </w:r>
          </w:p>
        </w:tc>
        <w:tc>
          <w:tcPr>
            <w:tcW w:type="dxa" w:w="2016"/>
            <w:vAlign w:val="top"/>
          </w:tcPr>
          <w:p>
            <w:r/>
            <w:r>
              <w:rPr>
                <w:rFonts w:ascii="Arial" w:hAnsi="Arial" w:eastAsia="Arial"/>
                <w:b w:val="0"/>
                <w:sz w:val="17"/>
              </w:rPr>
              <w:t>Shows renewed notice in 2011 of the same alleged long-term human-rights and medical-legal destruction chain.</w:t>
            </w:r>
          </w:p>
        </w:tc>
      </w:tr>
      <w:tr>
        <w:tc>
          <w:tcPr>
            <w:tcW w:type="dxa" w:w="2016"/>
            <w:vAlign w:val="top"/>
          </w:tcPr>
          <w:p>
            <w:r/>
            <w:r>
              <w:rPr>
                <w:rFonts w:ascii="Arial" w:hAnsi="Arial" w:eastAsia="Arial"/>
                <w:b w:val="0"/>
                <w:sz w:val="17"/>
              </w:rPr>
              <w:t>2011 submission, pp. 1-19</w:t>
            </w:r>
          </w:p>
        </w:tc>
        <w:tc>
          <w:tcPr>
            <w:tcW w:type="dxa" w:w="2016"/>
            <w:vAlign w:val="top"/>
          </w:tcPr>
          <w:p>
            <w:r/>
            <w:r>
              <w:rPr>
                <w:rFonts w:ascii="Arial" w:hAnsi="Arial" w:eastAsia="Arial"/>
                <w:b w:val="0"/>
                <w:sz w:val="17"/>
              </w:rPr>
              <w:t>Applicant’s detailed application enclosed or filed with bzfo/zfm</w:t>
            </w:r>
          </w:p>
        </w:tc>
        <w:tc>
          <w:tcPr>
            <w:tcW w:type="dxa" w:w="2016"/>
            <w:vAlign w:val="top"/>
          </w:tcPr>
          <w:p>
            <w:r/>
            <w:r>
              <w:rPr>
                <w:rFonts w:ascii="Arial" w:hAnsi="Arial" w:eastAsia="Arial"/>
                <w:b w:val="0"/>
                <w:sz w:val="17"/>
              </w:rPr>
              <w:t>No separate response from bzfo/zfm is visible in this 20-page file.</w:t>
            </w:r>
          </w:p>
        </w:tc>
        <w:tc>
          <w:tcPr>
            <w:tcW w:type="dxa" w:w="2016"/>
            <w:vAlign w:val="top"/>
          </w:tcPr>
          <w:p>
            <w:r/>
            <w:r>
              <w:rPr>
                <w:rFonts w:ascii="Arial" w:hAnsi="Arial" w:eastAsia="Arial"/>
                <w:b w:val="0"/>
                <w:sz w:val="17"/>
              </w:rPr>
              <w:t>Court files, ECHR applications, AIDS/TB/chronic diseases, 80% disability, Betreuung, 91,456 EUR cost burden, BGH/Kammergericht, alleged psychiatric misuse, lack of effective remedy.</w:t>
            </w:r>
          </w:p>
        </w:tc>
        <w:tc>
          <w:tcPr>
            <w:tcW w:type="dxa" w:w="2016"/>
            <w:vAlign w:val="top"/>
          </w:tcPr>
          <w:p>
            <w:r/>
            <w:r>
              <w:rPr>
                <w:rFonts w:ascii="Arial" w:hAnsi="Arial" w:eastAsia="Arial"/>
                <w:b w:val="0"/>
                <w:sz w:val="17"/>
              </w:rPr>
              <w:t>The scale and specificity of the material required specialised triage, documentation, referral or written explanation if the institution could not act.</w:t>
            </w:r>
          </w:p>
        </w:tc>
      </w:tr>
    </w:tbl>
    <w:p>
      <w:pPr>
        <w:pStyle w:val="Heading1"/>
      </w:pPr>
      <w:r>
        <w:t>3. Source Register and Page-Level Observations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top"/>
            <w:shd w:fill="D9EAF7"/>
          </w:tcPr>
          <w:p>
            <w:r/>
            <w:r>
              <w:rPr>
                <w:rFonts w:ascii="Arial" w:hAnsi="Arial" w:eastAsia="Arial"/>
                <w:b/>
                <w:sz w:val="17"/>
              </w:rPr>
              <w:t>Source code</w:t>
            </w:r>
          </w:p>
        </w:tc>
        <w:tc>
          <w:tcPr>
            <w:tcW w:type="dxa" w:w="2520"/>
            <w:vAlign w:val="top"/>
            <w:shd w:fill="D9EAF7"/>
          </w:tcPr>
          <w:p>
            <w:r/>
            <w:r>
              <w:rPr>
                <w:rFonts w:ascii="Arial" w:hAnsi="Arial" w:eastAsia="Arial"/>
                <w:b/>
                <w:sz w:val="17"/>
              </w:rPr>
              <w:t>Visible page(s)</w:t>
            </w:r>
          </w:p>
        </w:tc>
        <w:tc>
          <w:tcPr>
            <w:tcW w:type="dxa" w:w="2520"/>
            <w:vAlign w:val="top"/>
            <w:shd w:fill="D9EAF7"/>
          </w:tcPr>
          <w:p>
            <w:r/>
            <w:r>
              <w:rPr>
                <w:rFonts w:ascii="Arial" w:hAnsi="Arial" w:eastAsia="Arial"/>
                <w:b/>
                <w:sz w:val="17"/>
              </w:rPr>
              <w:t>What is visible</w:t>
            </w:r>
          </w:p>
        </w:tc>
        <w:tc>
          <w:tcPr>
            <w:tcW w:type="dxa" w:w="2520"/>
            <w:vAlign w:val="top"/>
            <w:shd w:fill="D9EAF7"/>
          </w:tcPr>
          <w:p>
            <w:r/>
            <w:r>
              <w:rPr>
                <w:rFonts w:ascii="Arial" w:hAnsi="Arial" w:eastAsia="Arial"/>
                <w:b/>
                <w:sz w:val="17"/>
              </w:rPr>
              <w:t>Use in this report</w:t>
            </w:r>
          </w:p>
        </w:tc>
      </w:tr>
      <w:tr>
        <w:tc>
          <w:tcPr>
            <w:tcW w:type="dxa" w:w="2520"/>
            <w:vAlign w:val="top"/>
          </w:tcPr>
          <w:p>
            <w:r/>
            <w:r>
              <w:rPr>
                <w:rFonts w:ascii="Arial" w:hAnsi="Arial" w:eastAsia="Arial"/>
                <w:b w:val="0"/>
                <w:sz w:val="17"/>
              </w:rPr>
              <w:t>S1</w:t>
            </w:r>
          </w:p>
        </w:tc>
        <w:tc>
          <w:tcPr>
            <w:tcW w:type="dxa" w:w="2520"/>
            <w:vAlign w:val="top"/>
          </w:tcPr>
          <w:p>
            <w:r/>
            <w:r>
              <w:rPr>
                <w:rFonts w:ascii="Arial" w:hAnsi="Arial" w:eastAsia="Arial"/>
                <w:b w:val="0"/>
                <w:sz w:val="17"/>
              </w:rPr>
              <w:t>PDF(17), p. 20</w:t>
            </w:r>
          </w:p>
        </w:tc>
        <w:tc>
          <w:tcPr>
            <w:tcW w:type="dxa" w:w="2520"/>
            <w:vAlign w:val="top"/>
          </w:tcPr>
          <w:p>
            <w:r/>
            <w:r>
              <w:rPr>
                <w:rFonts w:ascii="Arial" w:hAnsi="Arial" w:eastAsia="Arial"/>
                <w:b w:val="0"/>
                <w:sz w:val="17"/>
              </w:rPr>
              <w:t>Letter dated 12 June 2008 addressed to Behandlungszentrum für Folteropfer e.V. / Zentrum für Flüchtlingshilfen und Migrationsdienste, Leiter Dr. Joachim Rüffer; includes CD-DVD and Bundestag-related copy.</w:t>
            </w:r>
          </w:p>
        </w:tc>
        <w:tc>
          <w:tcPr>
            <w:tcW w:type="dxa" w:w="2520"/>
            <w:vAlign w:val="top"/>
          </w:tcPr>
          <w:p>
            <w:r/>
            <w:r>
              <w:rPr>
                <w:rFonts w:ascii="Arial" w:hAnsi="Arial" w:eastAsia="Arial"/>
                <w:b w:val="0"/>
                <w:sz w:val="17"/>
              </w:rPr>
              <w:t>Primary proof for the special finding that bzfo/zfm received the Bundestag-related CD/DVD evidence field.</w:t>
            </w:r>
          </w:p>
        </w:tc>
      </w:tr>
      <w:tr>
        <w:tc>
          <w:tcPr>
            <w:tcW w:type="dxa" w:w="2520"/>
            <w:vAlign w:val="top"/>
          </w:tcPr>
          <w:p>
            <w:r/>
            <w:r>
              <w:rPr>
                <w:rFonts w:ascii="Arial" w:hAnsi="Arial" w:eastAsia="Arial"/>
                <w:b w:val="0"/>
                <w:sz w:val="17"/>
              </w:rPr>
              <w:t>S2</w:t>
            </w:r>
          </w:p>
        </w:tc>
        <w:tc>
          <w:tcPr>
            <w:tcW w:type="dxa" w:w="2520"/>
            <w:vAlign w:val="top"/>
          </w:tcPr>
          <w:p>
            <w:r/>
            <w:r>
              <w:rPr>
                <w:rFonts w:ascii="Arial" w:hAnsi="Arial" w:eastAsia="Arial"/>
                <w:b w:val="0"/>
                <w:sz w:val="17"/>
              </w:rPr>
              <w:t>PDF(17), p. 1</w:t>
            </w:r>
          </w:p>
        </w:tc>
        <w:tc>
          <w:tcPr>
            <w:tcW w:type="dxa" w:w="2520"/>
            <w:vAlign w:val="top"/>
          </w:tcPr>
          <w:p>
            <w:r/>
            <w:r>
              <w:rPr>
                <w:rFonts w:ascii="Arial" w:hAnsi="Arial" w:eastAsia="Arial"/>
                <w:b w:val="0"/>
                <w:sz w:val="17"/>
              </w:rPr>
              <w:t>2011 “Antrag und Klage” addressed to bzfo/zfm / Dr. Joachim Rüffer with institutional stamp/handwritten receipt markings at top.</w:t>
            </w:r>
          </w:p>
        </w:tc>
        <w:tc>
          <w:tcPr>
            <w:tcW w:type="dxa" w:w="2520"/>
            <w:vAlign w:val="top"/>
          </w:tcPr>
          <w:p>
            <w:r/>
            <w:r>
              <w:rPr>
                <w:rFonts w:ascii="Arial" w:hAnsi="Arial" w:eastAsia="Arial"/>
                <w:b w:val="0"/>
                <w:sz w:val="17"/>
              </w:rPr>
              <w:t>Primary proof of renewed 2011 submission and institutional notice.</w:t>
            </w:r>
          </w:p>
        </w:tc>
      </w:tr>
      <w:tr>
        <w:tc>
          <w:tcPr>
            <w:tcW w:type="dxa" w:w="2520"/>
            <w:vAlign w:val="top"/>
          </w:tcPr>
          <w:p>
            <w:r/>
            <w:r>
              <w:rPr>
                <w:rFonts w:ascii="Arial" w:hAnsi="Arial" w:eastAsia="Arial"/>
                <w:b w:val="0"/>
                <w:sz w:val="17"/>
              </w:rPr>
              <w:t>S3</w:t>
            </w:r>
          </w:p>
        </w:tc>
        <w:tc>
          <w:tcPr>
            <w:tcW w:type="dxa" w:w="2520"/>
            <w:vAlign w:val="top"/>
          </w:tcPr>
          <w:p>
            <w:r/>
            <w:r>
              <w:rPr>
                <w:rFonts w:ascii="Arial" w:hAnsi="Arial" w:eastAsia="Arial"/>
                <w:b w:val="0"/>
                <w:sz w:val="17"/>
              </w:rPr>
              <w:t>PDF(17), pp. 2-19</w:t>
            </w:r>
          </w:p>
        </w:tc>
        <w:tc>
          <w:tcPr>
            <w:tcW w:type="dxa" w:w="2520"/>
            <w:vAlign w:val="top"/>
          </w:tcPr>
          <w:p>
            <w:r/>
            <w:r>
              <w:rPr>
                <w:rFonts w:ascii="Arial" w:hAnsi="Arial" w:eastAsia="Arial"/>
                <w:b w:val="0"/>
                <w:sz w:val="17"/>
              </w:rPr>
              <w:t>Detailed legal-medical narrative and complaint; references court decisions, medical records, website/document folders, ECHR/BGH/Betreuung/cost issues.</w:t>
            </w:r>
          </w:p>
        </w:tc>
        <w:tc>
          <w:tcPr>
            <w:tcW w:type="dxa" w:w="2520"/>
            <w:vAlign w:val="top"/>
          </w:tcPr>
          <w:p>
            <w:r/>
            <w:r>
              <w:rPr>
                <w:rFonts w:ascii="Arial" w:hAnsi="Arial" w:eastAsia="Arial"/>
                <w:b w:val="0"/>
                <w:sz w:val="17"/>
              </w:rPr>
              <w:t>Core factual basis for knowledge of alleged grave violations and the legal assessment of required protective steps.</w:t>
            </w:r>
          </w:p>
        </w:tc>
      </w:tr>
      <w:tr>
        <w:tc>
          <w:tcPr>
            <w:tcW w:type="dxa" w:w="2520"/>
            <w:vAlign w:val="top"/>
          </w:tcPr>
          <w:p>
            <w:r/>
            <w:r>
              <w:rPr>
                <w:rFonts w:ascii="Arial" w:hAnsi="Arial" w:eastAsia="Arial"/>
                <w:b w:val="0"/>
                <w:sz w:val="17"/>
              </w:rPr>
              <w:t>S4</w:t>
            </w:r>
          </w:p>
        </w:tc>
        <w:tc>
          <w:tcPr>
            <w:tcW w:type="dxa" w:w="2520"/>
            <w:vAlign w:val="top"/>
          </w:tcPr>
          <w:p>
            <w:r/>
            <w:r>
              <w:rPr>
                <w:rFonts w:ascii="Arial" w:hAnsi="Arial" w:eastAsia="Arial"/>
                <w:b w:val="0"/>
                <w:sz w:val="17"/>
              </w:rPr>
              <w:t>PDF(17), pp. 5-7</w:t>
            </w:r>
          </w:p>
        </w:tc>
        <w:tc>
          <w:tcPr>
            <w:tcW w:type="dxa" w:w="2520"/>
            <w:vAlign w:val="top"/>
          </w:tcPr>
          <w:p>
            <w:r/>
            <w:r>
              <w:rPr>
                <w:rFonts w:ascii="Arial" w:hAnsi="Arial" w:eastAsia="Arial"/>
                <w:b w:val="0"/>
                <w:sz w:val="17"/>
              </w:rPr>
              <w:t>References to Kammergericht, BVerfG, Bundestag, online folders “09 COURT Germany,” “01 Reinickendorf 5,” and other document sets.</w:t>
            </w:r>
          </w:p>
        </w:tc>
        <w:tc>
          <w:tcPr>
            <w:tcW w:type="dxa" w:w="2520"/>
            <w:vAlign w:val="top"/>
          </w:tcPr>
          <w:p>
            <w:r/>
            <w:r>
              <w:rPr>
                <w:rFonts w:ascii="Arial" w:hAnsi="Arial" w:eastAsia="Arial"/>
                <w:b w:val="0"/>
                <w:sz w:val="17"/>
              </w:rPr>
              <w:t>Shows that the applicant did not submit only a general request but pointed the institution to documentary archives.</w:t>
            </w:r>
          </w:p>
        </w:tc>
      </w:tr>
    </w:tbl>
    <w:p>
      <w:pPr>
        <w:pStyle w:val="Heading1"/>
      </w:pPr>
      <w:r>
        <w:t>4. Documentary Analysis of the 12 June 2008 Submission</w:t>
      </w:r>
    </w:p>
    <w:p>
      <w:r>
        <w:rPr>
          <w:rFonts w:ascii="Arial" w:hAnsi="Arial" w:eastAsia="Arial"/>
          <w:b w:val="0"/>
          <w:sz w:val="19"/>
        </w:rPr>
        <w:t>The 12.06.2008 letter is short but highly significant. It is addressed to the treatment centre for torture victims / refugee and migration services and states that the applicant enclosed:</w:t>
      </w:r>
    </w:p>
    <w:p>
      <w:pPr>
        <w:pStyle w:val="ListBullet"/>
        <w:spacing w:after="40"/>
      </w:pPr>
      <w:r>
        <w:rPr>
          <w:rFonts w:ascii="Arial" w:hAnsi="Arial" w:eastAsia="Arial"/>
          <w:sz w:val="19"/>
        </w:rPr>
        <w:t>a copy of his objection to the Bundestag dated 29.05.2008;</w:t>
      </w:r>
    </w:p>
    <w:p>
      <w:pPr>
        <w:pStyle w:val="ListBullet"/>
        <w:spacing w:after="40"/>
      </w:pPr>
      <w:r>
        <w:rPr>
          <w:rFonts w:ascii="Arial" w:hAnsi="Arial" w:eastAsia="Arial"/>
          <w:sz w:val="19"/>
        </w:rPr>
        <w:t>a copy of his answer to the Kammergericht dated 12.06.2008;</w:t>
      </w:r>
    </w:p>
    <w:p>
      <w:pPr>
        <w:pStyle w:val="ListBullet"/>
        <w:spacing w:after="40"/>
      </w:pPr>
      <w:r>
        <w:rPr>
          <w:rFonts w:ascii="Arial" w:hAnsi="Arial" w:eastAsia="Arial"/>
          <w:sz w:val="19"/>
        </w:rPr>
        <w:t>a copy of his complaint to the Bundesverfassungsgericht dated 10.05.2007;</w:t>
      </w:r>
    </w:p>
    <w:p>
      <w:pPr>
        <w:pStyle w:val="ListBullet"/>
        <w:spacing w:after="40"/>
      </w:pPr>
      <w:r>
        <w:rPr>
          <w:rFonts w:ascii="Arial" w:hAnsi="Arial" w:eastAsia="Arial"/>
          <w:sz w:val="19"/>
        </w:rPr>
        <w:t>CD-DVD material.</w:t>
      </w:r>
    </w:p>
    <w:p>
      <w:r>
        <w:rPr>
          <w:rFonts w:ascii="Arial" w:hAnsi="Arial" w:eastAsia="Arial"/>
          <w:b w:val="0"/>
          <w:sz w:val="19"/>
        </w:rPr>
        <w:t>This page must be treated as a delivery/notice bridge. It connects the Bundestag evidence field, the Kammergericht evidence field, the Bundesverfassungsgericht evidence field and the CD/DVD evidence field with bzfo/zfm. The applicant’s requested conclusion is legally relevant: bzfo/zfm was not merely told a story orally; the document shows that it was given legal and documentary materials, including CD/DVD references, tied to parliamentary and court complaints.</w:t>
      </w:r>
    </w:p>
    <w:p>
      <w:r>
        <w:rPr>
          <w:rFonts w:ascii="Arial" w:hAnsi="Arial" w:eastAsia="Arial"/>
          <w:b w:val="0"/>
          <w:sz w:val="19"/>
        </w:rPr>
        <w:t>Important evidentiary limitation: page 20 proves that bzfo/zfm was provided with Bundestag-related materials and CD/DVD material. It supports the applicant’s position that such materials were part of the Bundestag evidence chain, but direct proof that the Bundestag itself received and processed those CD/DVDs must be shown from Bundestag receipts, Bundestag correspondence, postal proof or parliamentary file records. This distinction protects the report from overstatement while preserving the strength of the document.</w:t>
      </w:r>
    </w:p>
    <w:p>
      <w:pPr>
        <w:pStyle w:val="Heading1"/>
      </w:pPr>
      <w:r>
        <w:t>5. Documentary Analysis of the 13 April 2011 Submission</w:t>
      </w:r>
    </w:p>
    <w:p>
      <w:r>
        <w:rPr>
          <w:rFonts w:ascii="Arial" w:hAnsi="Arial" w:eastAsia="Arial"/>
          <w:b w:val="0"/>
          <w:sz w:val="19"/>
        </w:rPr>
        <w:t>The 13.04.2011 “Antrag und Klage” is much broader. It is addressed to European Court judges, United Nations officials and responsible human-rights actors, while the visible copy in this file is addressed to bzfo/zfm. The material describes the applicant’s situation as a long-term destruction of freedom, health, legal capacity and human dignity.</w:t>
      </w:r>
    </w:p>
    <w:p>
      <w:r>
        <w:rPr>
          <w:rFonts w:ascii="Arial" w:hAnsi="Arial" w:eastAsia="Arial"/>
          <w:b w:val="0"/>
          <w:sz w:val="19"/>
        </w:rPr>
        <w:t>The visible text includes, among other issues, the applicant’s allegations of:</w:t>
      </w:r>
    </w:p>
    <w:p>
      <w:pPr>
        <w:pStyle w:val="ListBullet"/>
        <w:spacing w:after="40"/>
      </w:pPr>
      <w:r>
        <w:rPr>
          <w:rFonts w:ascii="Arial" w:hAnsi="Arial" w:eastAsia="Arial"/>
          <w:sz w:val="19"/>
        </w:rPr>
        <w:t>arrival in Germany in 1998 and subsequent detention, beating and medical neglect;</w:t>
      </w:r>
    </w:p>
    <w:p>
      <w:pPr>
        <w:pStyle w:val="ListBullet"/>
        <w:spacing w:after="40"/>
      </w:pPr>
      <w:r>
        <w:rPr>
          <w:rFonts w:ascii="Arial" w:hAnsi="Arial" w:eastAsia="Arial"/>
          <w:sz w:val="19"/>
        </w:rPr>
        <w:t>the 02.11.1999 prison/detention incident and later criminal conviction/correction chain;</w:t>
      </w:r>
    </w:p>
    <w:p>
      <w:pPr>
        <w:pStyle w:val="ListBullet"/>
        <w:spacing w:after="40"/>
      </w:pPr>
      <w:r>
        <w:rPr>
          <w:rFonts w:ascii="Arial" w:hAnsi="Arial" w:eastAsia="Arial"/>
          <w:sz w:val="19"/>
        </w:rPr>
        <w:t>lack of medical treatment over many years and serious illnesses, including AIDS/HIV, tuberculosis-related references and chronic diseases;</w:t>
      </w:r>
    </w:p>
    <w:p>
      <w:pPr>
        <w:pStyle w:val="ListBullet"/>
        <w:spacing w:after="40"/>
      </w:pPr>
      <w:r>
        <w:rPr>
          <w:rFonts w:ascii="Arial" w:hAnsi="Arial" w:eastAsia="Arial"/>
          <w:sz w:val="19"/>
        </w:rPr>
        <w:t>80% disability and later social/medical vulnerability;</w:t>
      </w:r>
    </w:p>
    <w:p>
      <w:pPr>
        <w:pStyle w:val="ListBullet"/>
        <w:spacing w:after="40"/>
      </w:pPr>
      <w:r>
        <w:rPr>
          <w:rFonts w:ascii="Arial" w:hAnsi="Arial" w:eastAsia="Arial"/>
          <w:sz w:val="19"/>
        </w:rPr>
        <w:t>court proceedings including AG/LG/KG/BGH/BVerfG/ECHR references;</w:t>
      </w:r>
    </w:p>
    <w:p>
      <w:pPr>
        <w:pStyle w:val="ListBullet"/>
        <w:spacing w:after="40"/>
      </w:pPr>
      <w:r>
        <w:rPr>
          <w:rFonts w:ascii="Arial" w:hAnsi="Arial" w:eastAsia="Arial"/>
          <w:sz w:val="19"/>
        </w:rPr>
        <w:t>Betreuung / legal guardianship concerns and alleged neutralisation of legal remedies;</w:t>
      </w:r>
    </w:p>
    <w:p>
      <w:pPr>
        <w:pStyle w:val="ListBullet"/>
        <w:spacing w:after="40"/>
      </w:pPr>
      <w:r>
        <w:rPr>
          <w:rFonts w:ascii="Arial" w:hAnsi="Arial" w:eastAsia="Arial"/>
          <w:sz w:val="19"/>
        </w:rPr>
        <w:t>the 91,456 EUR court-cost / enforcement burden;</w:t>
      </w:r>
    </w:p>
    <w:p>
      <w:pPr>
        <w:pStyle w:val="ListBullet"/>
        <w:spacing w:after="40"/>
      </w:pPr>
      <w:r>
        <w:rPr>
          <w:rFonts w:ascii="Arial" w:hAnsi="Arial" w:eastAsia="Arial"/>
          <w:sz w:val="19"/>
        </w:rPr>
        <w:t>the claim that documentary evidence was available through rustemazeri.com and named folders such as “09 COURT Germany”;</w:t>
      </w:r>
    </w:p>
    <w:p>
      <w:pPr>
        <w:pStyle w:val="ListBullet"/>
        <w:spacing w:after="40"/>
      </w:pPr>
      <w:r>
        <w:rPr>
          <w:rFonts w:ascii="Arial" w:hAnsi="Arial" w:eastAsia="Arial"/>
          <w:sz w:val="19"/>
        </w:rPr>
        <w:t>the request for UN or independent experts and the repeated assertion that domestic routes were ineffective.</w:t>
      </w:r>
    </w:p>
    <w:p>
      <w:r>
        <w:rPr>
          <w:rFonts w:ascii="Arial" w:hAnsi="Arial" w:eastAsia="Arial"/>
          <w:b w:val="0"/>
          <w:sz w:val="19"/>
        </w:rPr>
        <w:t>For an institution specialising in torture victims, refugees and migration-related psychosocial assistance, such a submission should have triggered at least documented triage, risk assessment and referral, or a clear written explanation why the institution could not act.</w:t>
      </w:r>
    </w:p>
    <w:p>
      <w:pPr>
        <w:pStyle w:val="Heading1"/>
      </w:pPr>
      <w:r>
        <w:t>6. Applicable Legal and Human-Rights Framework</w:t>
      </w:r>
    </w:p>
    <w:p>
      <w:r>
        <w:rPr>
          <w:rFonts w:ascii="Arial" w:hAnsi="Arial" w:eastAsia="Arial"/>
          <w:b w:val="0"/>
          <w:sz w:val="19"/>
        </w:rPr>
        <w:t>The underlying allegations described in the documents potentially engage the following international and domestic standards. These standards primarily bind States and public authorities. For a non-governmental or semi-public specialised institution such as bzfo/zfm, they serve as the legal and ethical framework for triage, referral, non-discrimination, documentation and protection. If bzfo/zfm acted under public funding, delegated social functions or cooperation with authorities, the State’s positive obligations become particularly relevant.</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top"/>
            <w:shd w:fill="D9EAF7"/>
          </w:tcPr>
          <w:p>
            <w:r/>
            <w:r>
              <w:rPr>
                <w:rFonts w:ascii="Arial" w:hAnsi="Arial" w:eastAsia="Arial"/>
                <w:b/>
                <w:sz w:val="17"/>
              </w:rPr>
              <w:t>Instrument / standard</w:t>
            </w:r>
          </w:p>
        </w:tc>
        <w:tc>
          <w:tcPr>
            <w:tcW w:type="dxa" w:w="3360"/>
            <w:vAlign w:val="top"/>
            <w:shd w:fill="D9EAF7"/>
          </w:tcPr>
          <w:p>
            <w:r/>
            <w:r>
              <w:rPr>
                <w:rFonts w:ascii="Arial" w:hAnsi="Arial" w:eastAsia="Arial"/>
                <w:b/>
                <w:sz w:val="17"/>
              </w:rPr>
              <w:t>Relevant rights</w:t>
            </w:r>
          </w:p>
        </w:tc>
        <w:tc>
          <w:tcPr>
            <w:tcW w:type="dxa" w:w="3360"/>
            <w:vAlign w:val="top"/>
            <w:shd w:fill="D9EAF7"/>
          </w:tcPr>
          <w:p>
            <w:r/>
            <w:r>
              <w:rPr>
                <w:rFonts w:ascii="Arial" w:hAnsi="Arial" w:eastAsia="Arial"/>
                <w:b/>
                <w:sz w:val="17"/>
              </w:rPr>
              <w:t>Why relevant here</w:t>
            </w:r>
          </w:p>
        </w:tc>
      </w:tr>
      <w:tr>
        <w:tc>
          <w:tcPr>
            <w:tcW w:type="dxa" w:w="3360"/>
            <w:vAlign w:val="top"/>
          </w:tcPr>
          <w:p>
            <w:r/>
            <w:r>
              <w:rPr>
                <w:rFonts w:ascii="Arial" w:hAnsi="Arial" w:eastAsia="Arial"/>
                <w:b w:val="0"/>
                <w:sz w:val="17"/>
              </w:rPr>
              <w:t>European Convention on Human Rights</w:t>
            </w:r>
          </w:p>
        </w:tc>
        <w:tc>
          <w:tcPr>
            <w:tcW w:type="dxa" w:w="3360"/>
            <w:vAlign w:val="top"/>
          </w:tcPr>
          <w:p>
            <w:r/>
            <w:r>
              <w:rPr>
                <w:rFonts w:ascii="Arial" w:hAnsi="Arial" w:eastAsia="Arial"/>
                <w:b w:val="0"/>
                <w:sz w:val="17"/>
              </w:rPr>
              <w:t>Articles 2, 3, 5, 6, 8, 13, 14</w:t>
            </w:r>
          </w:p>
        </w:tc>
        <w:tc>
          <w:tcPr>
            <w:tcW w:type="dxa" w:w="3360"/>
            <w:vAlign w:val="top"/>
          </w:tcPr>
          <w:p>
            <w:r/>
            <w:r>
              <w:rPr>
                <w:rFonts w:ascii="Arial" w:hAnsi="Arial" w:eastAsia="Arial"/>
                <w:b w:val="0"/>
                <w:sz w:val="17"/>
              </w:rPr>
              <w:t>Right to life, prohibition of inhuman/degrading treatment, liberty, fair trial, private life, effective remedy and non-discrimination are implicated by the applicant’s allegations of detention abuse, medical neglect, court obstruction and disability-related abandonment.</w:t>
            </w:r>
          </w:p>
        </w:tc>
      </w:tr>
      <w:tr>
        <w:tc>
          <w:tcPr>
            <w:tcW w:type="dxa" w:w="3360"/>
            <w:vAlign w:val="top"/>
          </w:tcPr>
          <w:p>
            <w:r/>
            <w:r>
              <w:rPr>
                <w:rFonts w:ascii="Arial" w:hAnsi="Arial" w:eastAsia="Arial"/>
                <w:b w:val="0"/>
                <w:sz w:val="17"/>
              </w:rPr>
              <w:t>UN Convention Against Torture</w:t>
            </w:r>
          </w:p>
        </w:tc>
        <w:tc>
          <w:tcPr>
            <w:tcW w:type="dxa" w:w="3360"/>
            <w:vAlign w:val="top"/>
          </w:tcPr>
          <w:p>
            <w:r/>
            <w:r>
              <w:rPr>
                <w:rFonts w:ascii="Arial" w:hAnsi="Arial" w:eastAsia="Arial"/>
                <w:b w:val="0"/>
                <w:sz w:val="17"/>
              </w:rPr>
              <w:t>Articles 12, 13, 14, 16</w:t>
            </w:r>
          </w:p>
        </w:tc>
        <w:tc>
          <w:tcPr>
            <w:tcW w:type="dxa" w:w="3360"/>
            <w:vAlign w:val="top"/>
          </w:tcPr>
          <w:p>
            <w:r/>
            <w:r>
              <w:rPr>
                <w:rFonts w:ascii="Arial" w:hAnsi="Arial" w:eastAsia="Arial"/>
                <w:b w:val="0"/>
                <w:sz w:val="17"/>
              </w:rPr>
              <w:t>Allegations of detention abuse, psychiatric misuse and severe suffering required proper documentation, investigation referral and rehabilitation-oriented support if facts were credible.</w:t>
            </w:r>
          </w:p>
        </w:tc>
      </w:tr>
      <w:tr>
        <w:tc>
          <w:tcPr>
            <w:tcW w:type="dxa" w:w="3360"/>
            <w:vAlign w:val="top"/>
          </w:tcPr>
          <w:p>
            <w:r/>
            <w:r>
              <w:rPr>
                <w:rFonts w:ascii="Arial" w:hAnsi="Arial" w:eastAsia="Arial"/>
                <w:b w:val="0"/>
                <w:sz w:val="17"/>
              </w:rPr>
              <w:t>International Covenant on Civil and Political Rights</w:t>
            </w:r>
          </w:p>
        </w:tc>
        <w:tc>
          <w:tcPr>
            <w:tcW w:type="dxa" w:w="3360"/>
            <w:vAlign w:val="top"/>
          </w:tcPr>
          <w:p>
            <w:r/>
            <w:r>
              <w:rPr>
                <w:rFonts w:ascii="Arial" w:hAnsi="Arial" w:eastAsia="Arial"/>
                <w:b w:val="0"/>
                <w:sz w:val="17"/>
              </w:rPr>
              <w:t>Articles 6, 7, 9, 14, 17, 26</w:t>
            </w:r>
          </w:p>
        </w:tc>
        <w:tc>
          <w:tcPr>
            <w:tcW w:type="dxa" w:w="3360"/>
            <w:vAlign w:val="top"/>
          </w:tcPr>
          <w:p>
            <w:r/>
            <w:r>
              <w:rPr>
                <w:rFonts w:ascii="Arial" w:hAnsi="Arial" w:eastAsia="Arial"/>
                <w:b w:val="0"/>
                <w:sz w:val="17"/>
              </w:rPr>
              <w:t>Right to life, freedom from cruel treatment, liberty, fair trial, privacy/dignity and equality are implicated.</w:t>
            </w:r>
          </w:p>
        </w:tc>
      </w:tr>
      <w:tr>
        <w:tc>
          <w:tcPr>
            <w:tcW w:type="dxa" w:w="3360"/>
            <w:vAlign w:val="top"/>
          </w:tcPr>
          <w:p>
            <w:r/>
            <w:r>
              <w:rPr>
                <w:rFonts w:ascii="Arial" w:hAnsi="Arial" w:eastAsia="Arial"/>
                <w:b w:val="0"/>
                <w:sz w:val="17"/>
              </w:rPr>
              <w:t>International Covenant on Economic, Social and Cultural Rights</w:t>
            </w:r>
          </w:p>
        </w:tc>
        <w:tc>
          <w:tcPr>
            <w:tcW w:type="dxa" w:w="3360"/>
            <w:vAlign w:val="top"/>
          </w:tcPr>
          <w:p>
            <w:r/>
            <w:r>
              <w:rPr>
                <w:rFonts w:ascii="Arial" w:hAnsi="Arial" w:eastAsia="Arial"/>
                <w:b w:val="0"/>
                <w:sz w:val="17"/>
              </w:rPr>
              <w:t>Articles 9, 11, 12</w:t>
            </w:r>
          </w:p>
        </w:tc>
        <w:tc>
          <w:tcPr>
            <w:tcW w:type="dxa" w:w="3360"/>
            <w:vAlign w:val="top"/>
          </w:tcPr>
          <w:p>
            <w:r/>
            <w:r>
              <w:rPr>
                <w:rFonts w:ascii="Arial" w:hAnsi="Arial" w:eastAsia="Arial"/>
                <w:b w:val="0"/>
                <w:sz w:val="17"/>
              </w:rPr>
              <w:t>Social security, adequate living conditions and the right to the highest attainable standard of physical and mental health are implicated by the medical/social history.</w:t>
            </w:r>
          </w:p>
        </w:tc>
      </w:tr>
      <w:tr>
        <w:tc>
          <w:tcPr>
            <w:tcW w:type="dxa" w:w="3360"/>
            <w:vAlign w:val="top"/>
          </w:tcPr>
          <w:p>
            <w:r/>
            <w:r>
              <w:rPr>
                <w:rFonts w:ascii="Arial" w:hAnsi="Arial" w:eastAsia="Arial"/>
                <w:b w:val="0"/>
                <w:sz w:val="17"/>
              </w:rPr>
              <w:t>Convention on the Rights of Persons with Disabilities</w:t>
            </w:r>
          </w:p>
        </w:tc>
        <w:tc>
          <w:tcPr>
            <w:tcW w:type="dxa" w:w="3360"/>
            <w:vAlign w:val="top"/>
          </w:tcPr>
          <w:p>
            <w:r/>
            <w:r>
              <w:rPr>
                <w:rFonts w:ascii="Arial" w:hAnsi="Arial" w:eastAsia="Arial"/>
                <w:b w:val="0"/>
                <w:sz w:val="17"/>
              </w:rPr>
              <w:t>Articles 5, 12, 13, 14, 15, 17, 19, 25, 28</w:t>
            </w:r>
          </w:p>
        </w:tc>
        <w:tc>
          <w:tcPr>
            <w:tcW w:type="dxa" w:w="3360"/>
            <w:vAlign w:val="top"/>
          </w:tcPr>
          <w:p>
            <w:r/>
            <w:r>
              <w:rPr>
                <w:rFonts w:ascii="Arial" w:hAnsi="Arial" w:eastAsia="Arial"/>
                <w:b w:val="0"/>
                <w:sz w:val="17"/>
              </w:rPr>
              <w:t>Disability equality, legal capacity, access to justice, health, independent living and adequate social protection are relevant to the applicant’s disability and Betreuung-related complaints.</w:t>
            </w:r>
          </w:p>
        </w:tc>
      </w:tr>
      <w:tr>
        <w:tc>
          <w:tcPr>
            <w:tcW w:type="dxa" w:w="3360"/>
            <w:vAlign w:val="top"/>
          </w:tcPr>
          <w:p>
            <w:r/>
            <w:r>
              <w:rPr>
                <w:rFonts w:ascii="Arial" w:hAnsi="Arial" w:eastAsia="Arial"/>
                <w:b w:val="0"/>
                <w:sz w:val="17"/>
              </w:rPr>
              <w:t>German Basic Law and anti-discrimination / social-protection principles</w:t>
            </w:r>
          </w:p>
        </w:tc>
        <w:tc>
          <w:tcPr>
            <w:tcW w:type="dxa" w:w="3360"/>
            <w:vAlign w:val="top"/>
          </w:tcPr>
          <w:p>
            <w:r/>
            <w:r>
              <w:rPr>
                <w:rFonts w:ascii="Arial" w:hAnsi="Arial" w:eastAsia="Arial"/>
                <w:b w:val="0"/>
                <w:sz w:val="17"/>
              </w:rPr>
              <w:t>Human dignity, life/physical integrity, equality, access to court and social-state principles</w:t>
            </w:r>
          </w:p>
        </w:tc>
        <w:tc>
          <w:tcPr>
            <w:tcW w:type="dxa" w:w="3360"/>
            <w:vAlign w:val="top"/>
          </w:tcPr>
          <w:p>
            <w:r/>
            <w:r>
              <w:rPr>
                <w:rFonts w:ascii="Arial" w:hAnsi="Arial" w:eastAsia="Arial"/>
                <w:b w:val="0"/>
                <w:sz w:val="17"/>
              </w:rPr>
              <w:t>The file repeatedly alleges that constitutional protection existed on paper but was not made effective in practice.</w:t>
            </w:r>
          </w:p>
        </w:tc>
      </w:tr>
    </w:tbl>
    <w:p>
      <w:pPr>
        <w:pStyle w:val="Heading1"/>
      </w:pPr>
      <w:r>
        <w:t>7. What bzfo/zfm Should Have Done Within Its Competence</w:t>
      </w:r>
    </w:p>
    <w:p>
      <w:r>
        <w:rPr>
          <w:rFonts w:ascii="Arial" w:hAnsi="Arial" w:eastAsia="Arial"/>
          <w:b w:val="0"/>
          <w:sz w:val="19"/>
        </w:rPr>
        <w:t>The following are not presented as automatic criminal duties of bzfo/zfm. They are the reasonable protective, humanitarian and professional steps that a specialised torture/refugee treatment and migration-assistance institution should have considered when receiving materials of this seriousness:</w:t>
      </w:r>
    </w:p>
    <w:p>
      <w:pPr>
        <w:pStyle w:val="ListBullet"/>
        <w:spacing w:after="40"/>
      </w:pPr>
      <w:r>
        <w:rPr>
          <w:rFonts w:ascii="Arial" w:hAnsi="Arial" w:eastAsia="Arial"/>
          <w:sz w:val="19"/>
        </w:rPr>
        <w:t>Register the submissions as urgent and preserve a complete copy of all materials, including CD/DVD evidence.</w:t>
      </w:r>
    </w:p>
    <w:p>
      <w:pPr>
        <w:pStyle w:val="ListBullet"/>
        <w:spacing w:after="40"/>
      </w:pPr>
      <w:r>
        <w:rPr>
          <w:rFonts w:ascii="Arial" w:hAnsi="Arial" w:eastAsia="Arial"/>
          <w:sz w:val="19"/>
        </w:rPr>
        <w:t>Conduct or arrange a documented psychosocial and medical-torture triage, especially because the applicant alleged detention violence, psychiatric misuse, severe illness and suicide risk.</w:t>
      </w:r>
    </w:p>
    <w:p>
      <w:pPr>
        <w:pStyle w:val="ListBullet"/>
        <w:spacing w:after="40"/>
      </w:pPr>
      <w:r>
        <w:rPr>
          <w:rFonts w:ascii="Arial" w:hAnsi="Arial" w:eastAsia="Arial"/>
          <w:sz w:val="19"/>
        </w:rPr>
        <w:t>Provide a written response identifying what the institution could and could not do.</w:t>
      </w:r>
    </w:p>
    <w:p>
      <w:pPr>
        <w:pStyle w:val="ListBullet"/>
        <w:spacing w:after="40"/>
      </w:pPr>
      <w:r>
        <w:rPr>
          <w:rFonts w:ascii="Arial" w:hAnsi="Arial" w:eastAsia="Arial"/>
          <w:sz w:val="19"/>
        </w:rPr>
        <w:t>Refer the applicant to independent medical, psychiatric, torture-documentation or legal experts and document those referrals.</w:t>
      </w:r>
    </w:p>
    <w:p>
      <w:pPr>
        <w:pStyle w:val="ListBullet"/>
        <w:spacing w:after="40"/>
      </w:pPr>
      <w:r>
        <w:rPr>
          <w:rFonts w:ascii="Arial" w:hAnsi="Arial" w:eastAsia="Arial"/>
          <w:sz w:val="19"/>
        </w:rPr>
        <w:t>Where consent was available, contact or refer to competent protection bodies, legal-aid providers, medical services, anti-discrimination bodies, refugee services or international mechanisms.</w:t>
      </w:r>
    </w:p>
    <w:p>
      <w:pPr>
        <w:pStyle w:val="ListBullet"/>
        <w:spacing w:after="40"/>
      </w:pPr>
      <w:r>
        <w:rPr>
          <w:rFonts w:ascii="Arial" w:hAnsi="Arial" w:eastAsia="Arial"/>
          <w:sz w:val="19"/>
        </w:rPr>
        <w:t>Avoid reducing the matter to a routine appointment issue if the documentation contained allegations of torture, severe medical neglect and destruction of legal remedies.</w:t>
      </w:r>
    </w:p>
    <w:p>
      <w:pPr>
        <w:pStyle w:val="ListBullet"/>
        <w:spacing w:after="40"/>
      </w:pPr>
      <w:r>
        <w:rPr>
          <w:rFonts w:ascii="Arial" w:hAnsi="Arial" w:eastAsia="Arial"/>
          <w:sz w:val="19"/>
        </w:rPr>
        <w:t>Clarify whether the CD/DVD materials were reviewed, returned, stored, copied or ignored.</w:t>
      </w:r>
    </w:p>
    <w:p>
      <w:pPr>
        <w:pStyle w:val="ListBullet"/>
        <w:spacing w:after="40"/>
      </w:pPr>
      <w:r>
        <w:rPr>
          <w:rFonts w:ascii="Arial" w:hAnsi="Arial" w:eastAsia="Arial"/>
          <w:sz w:val="19"/>
        </w:rPr>
        <w:t>If unable to intervene, explain this in writing and identify alternative competent channels.</w:t>
      </w:r>
    </w:p>
    <w:p>
      <w:pPr>
        <w:pStyle w:val="Heading1"/>
      </w:pPr>
      <w:r>
        <w:t>8. Visible Gaps and Non-Visible Protective Action</w:t>
      </w:r>
    </w:p>
    <w:p>
      <w:r>
        <w:rPr>
          <w:rFonts w:ascii="Arial" w:hAnsi="Arial" w:eastAsia="Arial"/>
          <w:b w:val="0"/>
          <w:sz w:val="19"/>
        </w:rPr>
        <w:t>The file provided for this report does not show a substantive bzfo/zfm legal or medical evaluation of the 2008 and 2011 submissions. It also does not show a written institutional assessment of the CD/DVD materials, a torture/trauma report, a formal referral chain, or a reasoned refusal letter. The absence of such documents in the visible file does not prove that nothing occurred internally, but it creates a serious documentary gap.</w:t>
      </w:r>
    </w:p>
    <w:p>
      <w:r>
        <w:rPr>
          <w:rFonts w:ascii="Arial" w:hAnsi="Arial" w:eastAsia="Arial"/>
          <w:b w:val="0"/>
          <w:sz w:val="19"/>
        </w:rPr>
        <w:t>If bzfo/zfm or related records contain consultation notes, visitor logs, internal triage notes, appointment records, therapist notes, correspondence with Dr. Rüffer, or referral letters, these should be requested and compared against this file. If no such records exist, the non-existence itself may be legally relevant as a failure to document an urgent human-rights complaint.</w:t>
      </w:r>
    </w:p>
    <w:p>
      <w:pPr>
        <w:pStyle w:val="Heading1"/>
      </w:pPr>
      <w:r>
        <w:t>9. ChatGPT Legal-Analytical Assessment</w:t>
      </w:r>
    </w:p>
    <w:p>
      <w:r>
        <w:rPr>
          <w:rFonts w:ascii="Arial" w:hAnsi="Arial" w:eastAsia="Arial"/>
          <w:b w:val="0"/>
          <w:sz w:val="19"/>
        </w:rPr>
        <w:t>On the visible documents, the strongest legal conclusion is institutional notice rather than direct perpetrator liability. bzfo/zfm was not the German police, court, immigration authority or hospital. However, as a specialised treatment and migration-support institution, it was placed on notice of exceptionally serious allegations involving torture/ill-treatment, medical destruction, disability, lack of effective remedy and international legal proceedings.</w:t>
      </w:r>
    </w:p>
    <w:p>
      <w:r>
        <w:rPr>
          <w:rFonts w:ascii="Arial" w:hAnsi="Arial" w:eastAsia="Arial"/>
          <w:b w:val="0"/>
          <w:sz w:val="19"/>
        </w:rPr>
        <w:t>The 12.06.2008 page is especially important because it links bzfo/zfm to the Bundestag-related evidence package and CD/DVD materials. The 13.04.2011 application is important because it shows that the applicant again presented the long-term chain in detailed written form. Together, these materials support the conclusion that bzfo/zfm had actual or constructive knowledge of the applicant’s central allegations.</w:t>
      </w:r>
    </w:p>
    <w:p>
      <w:r>
        <w:rPr>
          <w:rFonts w:ascii="Arial" w:hAnsi="Arial" w:eastAsia="Arial"/>
          <w:b w:val="0"/>
          <w:sz w:val="19"/>
        </w:rPr>
        <w:t>The visible file does not show an effective protective response proportionate to the seriousness of the content. The legally cautious formulation is therefore: “The documents demonstrate institutional awareness and a visible absence of documented protective intervention, requiring independent review of bzfo/zfm records and any related public-authority cooperation.”</w:t>
      </w:r>
    </w:p>
    <w:p>
      <w:pPr>
        <w:pStyle w:val="Heading1"/>
      </w:pPr>
      <w:r>
        <w:t>10. Findings</w:t>
      </w:r>
    </w:p>
    <w:p>
      <w:pPr>
        <w:spacing w:after="40"/>
      </w:pPr>
      <w:r>
        <w:rPr>
          <w:rFonts w:ascii="Arial" w:hAnsi="Arial"/>
          <w:b/>
          <w:sz w:val="19"/>
        </w:rPr>
        <w:t xml:space="preserve">Finding 1 - Documented notice: </w:t>
      </w:r>
      <w:r>
        <w:rPr>
          <w:rFonts w:ascii="Arial" w:hAnsi="Arial"/>
          <w:sz w:val="19"/>
        </w:rPr>
        <w:t>The 2008 and 2011 documents show that bzfo/zfm was informed of the applicant’s allegations and received or was offered significant documentary materials.</w:t>
      </w:r>
    </w:p>
    <w:p>
      <w:pPr>
        <w:spacing w:after="40"/>
      </w:pPr>
      <w:r>
        <w:rPr>
          <w:rFonts w:ascii="Arial" w:hAnsi="Arial"/>
          <w:b/>
          <w:sz w:val="19"/>
        </w:rPr>
        <w:t xml:space="preserve">Finding 2 - CD/DVD evidence link: </w:t>
      </w:r>
      <w:r>
        <w:rPr>
          <w:rFonts w:ascii="Arial" w:hAnsi="Arial"/>
          <w:sz w:val="19"/>
        </w:rPr>
        <w:t>The 12.06.2008 letter shows that bzfo/zfm received or was sent the applicant’s Bundestag-related objection of 29.05.2008 and CD/DVD material. This must be included as a separate evidence bridge.</w:t>
      </w:r>
    </w:p>
    <w:p>
      <w:pPr>
        <w:spacing w:after="40"/>
      </w:pPr>
      <w:r>
        <w:rPr>
          <w:rFonts w:ascii="Arial" w:hAnsi="Arial"/>
          <w:b/>
          <w:sz w:val="19"/>
        </w:rPr>
        <w:t xml:space="preserve">Finding 3 - Scope of knowledge: </w:t>
      </w:r>
      <w:r>
        <w:rPr>
          <w:rFonts w:ascii="Arial" w:hAnsi="Arial"/>
          <w:sz w:val="19"/>
        </w:rPr>
        <w:t>The 2011 submission shows knowledge of the broader chain: detention abuse, medical neglect, court obstruction, ECHR/UN references, disability and Betreuung-related claims.</w:t>
      </w:r>
    </w:p>
    <w:p>
      <w:pPr>
        <w:spacing w:after="40"/>
      </w:pPr>
      <w:r>
        <w:rPr>
          <w:rFonts w:ascii="Arial" w:hAnsi="Arial"/>
          <w:b/>
          <w:sz w:val="19"/>
        </w:rPr>
        <w:t xml:space="preserve">Finding 4 - Visible lack of intervention: </w:t>
      </w:r>
      <w:r>
        <w:rPr>
          <w:rFonts w:ascii="Arial" w:hAnsi="Arial"/>
          <w:sz w:val="19"/>
        </w:rPr>
        <w:t>No substantive bzfo/zfm response, expert report, referral file or reasoned refusal is visible in the submitted 20-page file.</w:t>
      </w:r>
    </w:p>
    <w:p>
      <w:pPr>
        <w:spacing w:after="40"/>
      </w:pPr>
      <w:r>
        <w:rPr>
          <w:rFonts w:ascii="Arial" w:hAnsi="Arial"/>
          <w:b/>
          <w:sz w:val="19"/>
        </w:rPr>
        <w:t xml:space="preserve">Finding 5 - Need for record request: </w:t>
      </w:r>
      <w:r>
        <w:rPr>
          <w:rFonts w:ascii="Arial" w:hAnsi="Arial"/>
          <w:sz w:val="19"/>
        </w:rPr>
        <w:t>The applicant should request complete bzfo/zfm records, including correspondence, intake notes, visitor logs, appointment notes, internal memos and any records of CD/DVD handling.</w:t>
      </w:r>
    </w:p>
    <w:p>
      <w:pPr>
        <w:pStyle w:val="Heading1"/>
      </w:pPr>
      <w:r>
        <w:t>11. Recommended Record Requests</w:t>
      </w:r>
    </w:p>
    <w:p>
      <w:pPr>
        <w:pStyle w:val="ListNumber"/>
        <w:spacing w:after="40"/>
      </w:pPr>
      <w:r>
        <w:rPr>
          <w:rFonts w:ascii="Arial" w:hAnsi="Arial" w:eastAsia="Arial"/>
          <w:sz w:val="19"/>
        </w:rPr>
        <w:t>Complete bzfo/zfm file on Ismail Rustam / Rustem Ismail / Rustem-Azeri for 2008-2011.</w:t>
      </w:r>
    </w:p>
    <w:p>
      <w:pPr>
        <w:pStyle w:val="ListNumber"/>
        <w:spacing w:after="40"/>
      </w:pPr>
      <w:r>
        <w:rPr>
          <w:rFonts w:ascii="Arial" w:hAnsi="Arial" w:eastAsia="Arial"/>
          <w:sz w:val="19"/>
        </w:rPr>
        <w:t>All correspondence with Dr. Joachim Rüffer or staff concerning the applicant.</w:t>
      </w:r>
    </w:p>
    <w:p>
      <w:pPr>
        <w:pStyle w:val="ListNumber"/>
        <w:spacing w:after="40"/>
      </w:pPr>
      <w:r>
        <w:rPr>
          <w:rFonts w:ascii="Arial" w:hAnsi="Arial" w:eastAsia="Arial"/>
          <w:sz w:val="19"/>
        </w:rPr>
        <w:t>All appointment, intake, consultation, visitor-log, telephone and referral notes.</w:t>
      </w:r>
    </w:p>
    <w:p>
      <w:pPr>
        <w:pStyle w:val="ListNumber"/>
        <w:spacing w:after="40"/>
      </w:pPr>
      <w:r>
        <w:rPr>
          <w:rFonts w:ascii="Arial" w:hAnsi="Arial" w:eastAsia="Arial"/>
          <w:sz w:val="19"/>
        </w:rPr>
        <w:t>Any internal handling record for the CD/DVD materials and Bundestag-related documents referenced on 12.06.2008.</w:t>
      </w:r>
    </w:p>
    <w:p>
      <w:pPr>
        <w:pStyle w:val="ListNumber"/>
        <w:spacing w:after="40"/>
      </w:pPr>
      <w:r>
        <w:rPr>
          <w:rFonts w:ascii="Arial" w:hAnsi="Arial" w:eastAsia="Arial"/>
          <w:sz w:val="19"/>
        </w:rPr>
        <w:t>Any communication with XENION, ADB Berlin, DRK, Amnesty, Bundestag, courts, hospitals or public authorities concerning the applicant.</w:t>
      </w:r>
    </w:p>
    <w:p>
      <w:pPr>
        <w:pStyle w:val="ListNumber"/>
        <w:spacing w:after="40"/>
      </w:pPr>
      <w:r>
        <w:rPr>
          <w:rFonts w:ascii="Arial" w:hAnsi="Arial" w:eastAsia="Arial"/>
          <w:sz w:val="19"/>
        </w:rPr>
        <w:t>Any written explanation why no expert assessment, protection referral or intervention was undertaken, if that was the case.</w:t>
      </w:r>
    </w:p>
    <w:p>
      <w:pPr>
        <w:pStyle w:val="Heading1"/>
      </w:pPr>
      <w:r>
        <w:t>12. Final Conclusion</w:t>
      </w:r>
    </w:p>
    <w:p>
      <w:r>
        <w:rPr>
          <w:rFonts w:ascii="Arial" w:hAnsi="Arial" w:eastAsia="Arial"/>
          <w:b w:val="0"/>
          <w:sz w:val="19"/>
        </w:rPr>
        <w:t>This file should be preserved as Legal Analysis Report No. 6 - BZFO / ZFM. Substantively, the report confirms that bzfo/zfm was a materially important node in the applicant’s 2008-2011 documentation chain. It was given or notified of court, Bundestag, ECHR and CD/DVD materials and later received a detailed 2011 application describing the applicant’s alleged destruction of life, health, legal capacity and remedies.</w:t>
      </w:r>
    </w:p>
    <w:p>
      <w:r>
        <w:rPr>
          <w:rFonts w:ascii="Arial" w:hAnsi="Arial" w:eastAsia="Arial"/>
          <w:b w:val="0"/>
          <w:sz w:val="19"/>
        </w:rPr>
        <w:t>The strongest legally safe conclusion is: bzfo/zfm was placed on notice of grave alleged human-rights violations and the visible record does not show a proportionate documented protective response. This requires independent file review and, if no internal action exists, may support a broader pattern of institutional inaction despite notice.</w:t>
      </w:r>
    </w:p>
    <w:sectPr w:rsidR="00FC693F" w:rsidRPr="0006063C" w:rsidSect="00034616">
      <w:footerReference w:type="default" r:id="rId9"/>
      <w:head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Report No. 6 | bzfo/zfm | AI-assisted legal-documentary analysis | Not a court judgment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F5597"/>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0404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eastAsia="Arial"/>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