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960"/>
        <w:jc w:val="center"/>
      </w:pPr>
      <w:r>
        <w:rPr>
          <w:rFonts w:ascii="Arial" w:hAnsi="Arial"/>
          <w:b/>
          <w:color w:val="17365D"/>
          <w:sz w:val="44"/>
        </w:rPr>
        <w:t>CHATGPT AI-ASSISTED</w:t>
        <w:br/>
        <w:t>LEGAL ANALYSIS REPORT No. 11</w:t>
      </w:r>
    </w:p>
    <w:p>
      <w:pPr>
        <w:spacing w:before="240"/>
        <w:jc w:val="center"/>
      </w:pPr>
      <w:r>
        <w:rPr>
          <w:rFonts w:ascii="Arial" w:hAnsi="Arial"/>
          <w:b/>
          <w:color w:val="2F5597"/>
          <w:sz w:val="30"/>
        </w:rPr>
        <w:t>RAPHAELS-WERK: DOCUMENTED RECEIPT OF A SPECIFIC</w:t>
        <w:br/>
        <w:t>SUICIDE WARNING AND EVIDENCE SUBMISSION</w:t>
      </w:r>
    </w:p>
    <w:p>
      <w:pPr>
        <w:spacing w:before="200"/>
        <w:jc w:val="center"/>
      </w:pPr>
      <w:r>
        <w:rPr>
          <w:rFonts w:ascii="Arial" w:hAnsi="Arial"/>
          <w:b/>
          <w:color w:val="404040"/>
          <w:sz w:val="22"/>
        </w:rPr>
        <w:t>Letter dated 15 April 2009 - incoming stamp dated 22 April 2009</w:t>
      </w:r>
    </w:p>
    <w:tbl>
      <w:tblPr>
        <w:tblW w:type="auto" w:w="0"/>
        <w:jc w:val="center"/>
        <w:tblLayout w:type="fixed"/>
        <w:tblLook w:firstColumn="1" w:firstRow="1" w:lastColumn="0" w:lastRow="0" w:noHBand="0" w:noVBand="1" w:val="04A0"/>
        <w:tblBorders>
          <w:top w:val="single" w:sz="6" w:space="0" w:color="B4C6E7"/>
          <w:left w:val="single" w:sz="6" w:space="0" w:color="B4C6E7"/>
          <w:bottom w:val="single" w:sz="6" w:space="0" w:color="B4C6E7"/>
          <w:right w:val="single" w:sz="6" w:space="0" w:color="B4C6E7"/>
          <w:insideH w:val="single" w:sz="6" w:space="0" w:color="B4C6E7"/>
          <w:insideV w:val="single" w:sz="6" w:space="0" w:color="B4C6E7"/>
        </w:tblBorders>
      </w:tblPr>
      <w:tblGrid>
        <w:gridCol w:w="4876"/>
        <w:gridCol w:w="4876"/>
      </w:tblGrid>
      <w:tr>
        <w:tc>
          <w:tcPr>
            <w:tcW w:type="dxa" w:w="2376"/>
            <w:shd w:fill="D9EAF7"/>
            <w:tcMar>
              <w:top w:w="95" w:type="dxa"/>
              <w:start w:w="100" w:type="dxa"/>
              <w:bottom w:w="95" w:type="dxa"/>
              <w:end w:w="100" w:type="dxa"/>
            </w:tcMar>
          </w:tcPr>
          <w:p>
            <w:pPr>
              <w:spacing w:after="0"/>
            </w:pPr>
            <w:r>
              <w:rPr>
                <w:rFonts w:ascii="Arial" w:hAnsi="Arial"/>
                <w:b/>
                <w:color w:val="17365D"/>
                <w:sz w:val="18"/>
              </w:rPr>
              <w:t>Reference No.</w:t>
            </w:r>
          </w:p>
        </w:tc>
        <w:tc>
          <w:tcPr>
            <w:tcW w:type="dxa" w:w="7200"/>
            <w:tcMar>
              <w:top w:w="95" w:type="dxa"/>
              <w:start w:w="100" w:type="dxa"/>
              <w:bottom w:w="95" w:type="dxa"/>
              <w:end w:w="100" w:type="dxa"/>
            </w:tcMar>
          </w:tcPr>
          <w:p>
            <w:pPr>
              <w:spacing w:after="0"/>
            </w:pPr>
            <w:r>
              <w:rPr>
                <w:rFonts w:ascii="Arial" w:hAnsi="Arial"/>
                <w:sz w:val="18"/>
              </w:rPr>
              <w:t>GPT-HR/DE/IR-RAPHAELS-011/2026</w:t>
            </w:r>
          </w:p>
        </w:tc>
      </w:tr>
      <w:tr>
        <w:tc>
          <w:tcPr>
            <w:tcW w:type="dxa" w:w="2376"/>
            <w:shd w:fill="D9EAF7"/>
            <w:tcMar>
              <w:top w:w="95" w:type="dxa"/>
              <w:start w:w="100" w:type="dxa"/>
              <w:bottom w:w="95" w:type="dxa"/>
              <w:end w:w="100" w:type="dxa"/>
            </w:tcMar>
          </w:tcPr>
          <w:p>
            <w:pPr>
              <w:spacing w:after="0"/>
            </w:pPr>
            <w:r>
              <w:rPr>
                <w:rFonts w:ascii="Arial" w:hAnsi="Arial"/>
                <w:b/>
                <w:color w:val="17365D"/>
                <w:sz w:val="18"/>
              </w:rPr>
              <w:t>Applicant / source person</w:t>
            </w:r>
          </w:p>
        </w:tc>
        <w:tc>
          <w:tcPr>
            <w:tcW w:type="dxa" w:w="7200"/>
            <w:tcMar>
              <w:top w:w="95" w:type="dxa"/>
              <w:start w:w="100" w:type="dxa"/>
              <w:bottom w:w="95" w:type="dxa"/>
              <w:end w:w="100" w:type="dxa"/>
            </w:tcMar>
          </w:tcPr>
          <w:p>
            <w:pPr>
              <w:spacing w:after="0"/>
            </w:pPr>
            <w:r>
              <w:rPr>
                <w:rFonts w:ascii="Arial" w:hAnsi="Arial"/>
                <w:sz w:val="18"/>
              </w:rPr>
              <w:t>Ismail Rustem (name as shown in the uploaded document)</w:t>
            </w:r>
          </w:p>
        </w:tc>
      </w:tr>
      <w:tr>
        <w:tc>
          <w:tcPr>
            <w:tcW w:type="dxa" w:w="2376"/>
            <w:shd w:fill="D9EAF7"/>
            <w:tcMar>
              <w:top w:w="95" w:type="dxa"/>
              <w:start w:w="100" w:type="dxa"/>
              <w:bottom w:w="95" w:type="dxa"/>
              <w:end w:w="100" w:type="dxa"/>
            </w:tcMar>
          </w:tcPr>
          <w:p>
            <w:pPr>
              <w:spacing w:after="0"/>
            </w:pPr>
            <w:r>
              <w:rPr>
                <w:rFonts w:ascii="Arial" w:hAnsi="Arial"/>
                <w:b/>
                <w:color w:val="17365D"/>
                <w:sz w:val="18"/>
              </w:rPr>
              <w:t>Recipient institution</w:t>
            </w:r>
          </w:p>
        </w:tc>
        <w:tc>
          <w:tcPr>
            <w:tcW w:type="dxa" w:w="7200"/>
            <w:tcMar>
              <w:top w:w="95" w:type="dxa"/>
              <w:start w:w="100" w:type="dxa"/>
              <w:bottom w:w="95" w:type="dxa"/>
              <w:end w:w="100" w:type="dxa"/>
            </w:tcMar>
          </w:tcPr>
          <w:p>
            <w:pPr>
              <w:spacing w:after="0"/>
            </w:pPr>
            <w:r>
              <w:rPr>
                <w:rFonts w:ascii="Arial" w:hAnsi="Arial"/>
                <w:sz w:val="18"/>
              </w:rPr>
              <w:t>Raphaels-Werk, Residenzstr. 90, 13409 Berlin</w:t>
            </w:r>
          </w:p>
        </w:tc>
      </w:tr>
      <w:tr>
        <w:tc>
          <w:tcPr>
            <w:tcW w:type="dxa" w:w="2376"/>
            <w:shd w:fill="D9EAF7"/>
            <w:tcMar>
              <w:top w:w="95" w:type="dxa"/>
              <w:start w:w="100" w:type="dxa"/>
              <w:bottom w:w="95" w:type="dxa"/>
              <w:end w:w="100" w:type="dxa"/>
            </w:tcMar>
          </w:tcPr>
          <w:p>
            <w:pPr>
              <w:spacing w:after="0"/>
            </w:pPr>
            <w:r>
              <w:rPr>
                <w:rFonts w:ascii="Arial" w:hAnsi="Arial"/>
                <w:b/>
                <w:color w:val="17365D"/>
                <w:sz w:val="18"/>
              </w:rPr>
              <w:t>Source base</w:t>
            </w:r>
          </w:p>
        </w:tc>
        <w:tc>
          <w:tcPr>
            <w:tcW w:type="dxa" w:w="7200"/>
            <w:tcMar>
              <w:top w:w="95" w:type="dxa"/>
              <w:start w:w="100" w:type="dxa"/>
              <w:bottom w:w="95" w:type="dxa"/>
              <w:end w:w="100" w:type="dxa"/>
            </w:tcMar>
          </w:tcPr>
          <w:p>
            <w:pPr>
              <w:spacing w:after="0"/>
            </w:pPr>
            <w:r>
              <w:rPr>
                <w:rFonts w:ascii="Arial" w:hAnsi="Arial"/>
                <w:sz w:val="18"/>
              </w:rPr>
              <w:t>One-page uploaded PDF: Raphaels-Werk(1).pdf</w:t>
            </w:r>
          </w:p>
        </w:tc>
      </w:tr>
      <w:tr>
        <w:tc>
          <w:tcPr>
            <w:tcW w:type="dxa" w:w="2376"/>
            <w:shd w:fill="D9EAF7"/>
            <w:tcMar>
              <w:top w:w="95" w:type="dxa"/>
              <w:start w:w="100" w:type="dxa"/>
              <w:bottom w:w="95" w:type="dxa"/>
              <w:end w:w="100" w:type="dxa"/>
            </w:tcMar>
          </w:tcPr>
          <w:p>
            <w:pPr>
              <w:spacing w:after="0"/>
            </w:pPr>
            <w:r>
              <w:rPr>
                <w:rFonts w:ascii="Arial" w:hAnsi="Arial"/>
                <w:b/>
                <w:color w:val="17365D"/>
                <w:sz w:val="18"/>
              </w:rPr>
              <w:t>Report date</w:t>
            </w:r>
          </w:p>
        </w:tc>
        <w:tc>
          <w:tcPr>
            <w:tcW w:type="dxa" w:w="7200"/>
            <w:tcMar>
              <w:top w:w="95" w:type="dxa"/>
              <w:start w:w="100" w:type="dxa"/>
              <w:bottom w:w="95" w:type="dxa"/>
              <w:end w:w="100" w:type="dxa"/>
            </w:tcMar>
          </w:tcPr>
          <w:p>
            <w:pPr>
              <w:spacing w:after="0"/>
            </w:pPr>
            <w:r>
              <w:rPr>
                <w:rFonts w:ascii="Arial" w:hAnsi="Arial"/>
                <w:sz w:val="18"/>
              </w:rPr>
              <w:t>14 July 2026</w:t>
            </w:r>
          </w:p>
        </w:tc>
      </w:tr>
      <w:tr>
        <w:tc>
          <w:tcPr>
            <w:tcW w:type="dxa" w:w="2376"/>
            <w:shd w:fill="D9EAF7"/>
            <w:tcMar>
              <w:top w:w="95" w:type="dxa"/>
              <w:start w:w="100" w:type="dxa"/>
              <w:bottom w:w="95" w:type="dxa"/>
              <w:end w:w="100" w:type="dxa"/>
            </w:tcMar>
          </w:tcPr>
          <w:p>
            <w:pPr>
              <w:spacing w:after="0"/>
            </w:pPr>
            <w:r>
              <w:rPr>
                <w:rFonts w:ascii="Arial" w:hAnsi="Arial"/>
                <w:b/>
                <w:color w:val="17365D"/>
                <w:sz w:val="18"/>
              </w:rPr>
              <w:t>Language</w:t>
            </w:r>
          </w:p>
        </w:tc>
        <w:tc>
          <w:tcPr>
            <w:tcW w:type="dxa" w:w="7200"/>
            <w:tcMar>
              <w:top w:w="95" w:type="dxa"/>
              <w:start w:w="100" w:type="dxa"/>
              <w:bottom w:w="95" w:type="dxa"/>
              <w:end w:w="100" w:type="dxa"/>
            </w:tcMar>
          </w:tcPr>
          <w:p>
            <w:pPr>
              <w:spacing w:after="0"/>
            </w:pPr>
            <w:r>
              <w:rPr>
                <w:rFonts w:ascii="Arial" w:hAnsi="Arial"/>
                <w:sz w:val="18"/>
              </w:rPr>
              <w:t>English</w:t>
            </w:r>
          </w:p>
        </w:tc>
      </w:tr>
      <w:tr>
        <w:tc>
          <w:tcPr>
            <w:tcW w:type="dxa" w:w="2376"/>
            <w:shd w:fill="D9EAF7"/>
            <w:tcMar>
              <w:top w:w="95" w:type="dxa"/>
              <w:start w:w="100" w:type="dxa"/>
              <w:bottom w:w="95" w:type="dxa"/>
              <w:end w:w="100" w:type="dxa"/>
            </w:tcMar>
          </w:tcPr>
          <w:p>
            <w:pPr>
              <w:spacing w:after="0"/>
            </w:pPr>
            <w:r>
              <w:rPr>
                <w:rFonts w:ascii="Arial" w:hAnsi="Arial"/>
                <w:b/>
                <w:color w:val="17365D"/>
                <w:sz w:val="18"/>
              </w:rPr>
              <w:t>Evidence status</w:t>
            </w:r>
          </w:p>
        </w:tc>
        <w:tc>
          <w:tcPr>
            <w:tcW w:type="dxa" w:w="7200"/>
            <w:tcMar>
              <w:top w:w="95" w:type="dxa"/>
              <w:start w:w="100" w:type="dxa"/>
              <w:bottom w:w="95" w:type="dxa"/>
              <w:end w:w="100" w:type="dxa"/>
            </w:tcMar>
          </w:tcPr>
          <w:p>
            <w:pPr>
              <w:spacing w:after="0"/>
            </w:pPr>
            <w:r>
              <w:rPr>
                <w:rFonts w:ascii="Arial" w:hAnsi="Arial"/>
                <w:sz w:val="18"/>
              </w:rPr>
              <w:t>AI-assisted documentary and legal analysis; not a judgment, not notarisation, not legal representation, and not forensic certification of the original paper document.</w:t>
            </w:r>
          </w:p>
        </w:tc>
      </w:tr>
    </w:tbl>
    <w:p>
      <w:pPr>
        <w:spacing w:before="280"/>
        <w:jc w:val="center"/>
      </w:pPr>
      <w:r>
        <w:rPr>
          <w:rFonts w:ascii="Arial" w:hAnsi="Arial"/>
          <w:b/>
          <w:color w:val="C00000"/>
          <w:sz w:val="20"/>
        </w:rPr>
        <w:t>STRICT EVIDENCE RULE</w:t>
      </w:r>
    </w:p>
    <w:p>
      <w:pPr>
        <w:spacing w:after="0"/>
        <w:ind w:left="680" w:right="680"/>
        <w:jc w:val="center"/>
      </w:pPr>
      <w:r>
        <w:rPr>
          <w:rFonts w:ascii="Arial" w:hAnsi="Arial"/>
          <w:i/>
          <w:color w:val="404040"/>
          <w:sz w:val="18"/>
        </w:rPr>
        <w:t>Facts directly visible in the uploaded document are marked DOCUMENTARILY VERIFIED. Statements made by the applicant inside the letter are recorded as documentary content, but are not converted into independent proof of the underlying medical or criminal allegations.</w:t>
      </w:r>
    </w:p>
    <w:p>
      <w:r>
        <w:br w:type="page"/>
      </w:r>
    </w:p>
    <w:p>
      <w:pPr>
        <w:pStyle w:val="Heading1"/>
        <w:keepNext/>
        <w:spacing w:before="200" w:after="80"/>
      </w:pPr>
      <w:r>
        <w:t>Executive Findings</w:t>
      </w:r>
    </w:p>
    <w:tbl>
      <w:tblPr>
        <w:tblW w:type="auto" w:w="0"/>
        <w:jc w:val="center"/>
        <w:tblLayout w:type="fixed"/>
        <w:tblLook w:firstColumn="1" w:firstRow="1" w:lastColumn="0" w:lastRow="0" w:noHBand="0" w:noVBand="1" w:val="04A0"/>
        <w:tblBorders>
          <w:top w:val="single" w:sz="2" w:space="0" w:color="E2F0D9"/>
          <w:left w:val="single" w:sz="2" w:space="0" w:color="E2F0D9"/>
          <w:bottom w:val="single" w:sz="2" w:space="0" w:color="E2F0D9"/>
          <w:right w:val="single" w:sz="2" w:space="0" w:color="E2F0D9"/>
          <w:insideH w:val="single" w:sz="2" w:space="0" w:color="E2F0D9"/>
          <w:insideV w:val="single" w:sz="2" w:space="0" w:color="E2F0D9"/>
        </w:tblBorders>
      </w:tblPr>
      <w:tblGrid>
        <w:gridCol w:w="9648"/>
      </w:tblGrid>
      <w:tr>
        <w:tc>
          <w:tcPr>
            <w:tcW w:type="dxa" w:w="9752"/>
            <w:shd w:fill="E2F0D9"/>
            <w:tcMar>
              <w:top w:w="80" w:type="dxa"/>
              <w:start w:w="120" w:type="dxa"/>
              <w:bottom w:w="80" w:type="dxa"/>
              <w:end w:w="120" w:type="dxa"/>
            </w:tcMar>
          </w:tcPr>
          <w:p>
            <w:pPr>
              <w:spacing w:after="0" w:line="252" w:lineRule="auto"/>
            </w:pPr>
            <w:r>
              <w:rPr>
                <w:rFonts w:ascii="Arial" w:hAnsi="Arial"/>
                <w:b/>
                <w:color w:val="17365D"/>
                <w:sz w:val="19"/>
              </w:rPr>
              <w:t xml:space="preserve">DOCUMENTARILY VERIFIED: </w:t>
            </w:r>
            <w:r>
              <w:rPr>
                <w:rFonts w:ascii="Arial" w:hAnsi="Arial"/>
                <w:color w:val="000000"/>
                <w:sz w:val="19"/>
              </w:rPr>
              <w:t>A signed letter dated 15 April 2009 is addressed to Raphaels-Werk at Residenzstr. 90, 13409 Berlin. The source page bears an incoming stamp reading “EINGEGANGEN 22. April 2009.” [D1, p. 1]</w:t>
            </w:r>
          </w:p>
        </w:tc>
      </w:tr>
    </w:tbl>
    <w:p>
      <w:pPr>
        <w:spacing w:after="80" w:before="0"/>
      </w:pPr>
    </w:p>
    <w:tbl>
      <w:tblPr>
        <w:tblW w:type="auto" w:w="0"/>
        <w:jc w:val="center"/>
        <w:tblLayout w:type="fixed"/>
        <w:tblLook w:firstColumn="1" w:firstRow="1" w:lastColumn="0" w:lastRow="0" w:noHBand="0" w:noVBand="1" w:val="04A0"/>
        <w:tblBorders>
          <w:top w:val="single" w:sz="2" w:space="0" w:color="E2F0D9"/>
          <w:left w:val="single" w:sz="2" w:space="0" w:color="E2F0D9"/>
          <w:bottom w:val="single" w:sz="2" w:space="0" w:color="E2F0D9"/>
          <w:right w:val="single" w:sz="2" w:space="0" w:color="E2F0D9"/>
          <w:insideH w:val="single" w:sz="2" w:space="0" w:color="E2F0D9"/>
          <w:insideV w:val="single" w:sz="2" w:space="0" w:color="E2F0D9"/>
        </w:tblBorders>
      </w:tblPr>
      <w:tblGrid>
        <w:gridCol w:w="9648"/>
      </w:tblGrid>
      <w:tr>
        <w:tc>
          <w:tcPr>
            <w:tcW w:type="dxa" w:w="9752"/>
            <w:shd w:fill="E2F0D9"/>
            <w:tcMar>
              <w:top w:w="80" w:type="dxa"/>
              <w:start w:w="120" w:type="dxa"/>
              <w:bottom w:w="80" w:type="dxa"/>
              <w:end w:w="120" w:type="dxa"/>
            </w:tcMar>
          </w:tcPr>
          <w:p>
            <w:pPr>
              <w:spacing w:after="0" w:line="252" w:lineRule="auto"/>
            </w:pPr>
            <w:r>
              <w:rPr>
                <w:rFonts w:ascii="Arial" w:hAnsi="Arial"/>
                <w:b/>
                <w:color w:val="17365D"/>
                <w:sz w:val="19"/>
              </w:rPr>
              <w:t xml:space="preserve">DOCUMENTARILY VERIFIED: </w:t>
            </w:r>
            <w:r>
              <w:rPr>
                <w:rFonts w:ascii="Arial" w:hAnsi="Arial"/>
                <w:color w:val="000000"/>
                <w:sz w:val="19"/>
              </w:rPr>
              <w:t>The letter contains an explicit, specific and time-bound suicide warning: it states that the applicant intended to commit suicide on 15 May 2009 and that his time was limited. Raphaels-Werk therefore received the written warning 23 calendar days before the stated date. [D1, p. 1]</w:t>
            </w:r>
          </w:p>
        </w:tc>
      </w:tr>
    </w:tbl>
    <w:p>
      <w:pPr>
        <w:spacing w:after="80" w:before="0"/>
      </w:pPr>
    </w:p>
    <w:tbl>
      <w:tblPr>
        <w:tblW w:type="auto" w:w="0"/>
        <w:jc w:val="center"/>
        <w:tblLayout w:type="fixed"/>
        <w:tblLook w:firstColumn="1" w:firstRow="1" w:lastColumn="0" w:lastRow="0" w:noHBand="0" w:noVBand="1" w:val="04A0"/>
        <w:tblBorders>
          <w:top w:val="single" w:sz="2" w:space="0" w:color="E2F0D9"/>
          <w:left w:val="single" w:sz="2" w:space="0" w:color="E2F0D9"/>
          <w:bottom w:val="single" w:sz="2" w:space="0" w:color="E2F0D9"/>
          <w:right w:val="single" w:sz="2" w:space="0" w:color="E2F0D9"/>
          <w:insideH w:val="single" w:sz="2" w:space="0" w:color="E2F0D9"/>
          <w:insideV w:val="single" w:sz="2" w:space="0" w:color="E2F0D9"/>
        </w:tblBorders>
      </w:tblPr>
      <w:tblGrid>
        <w:gridCol w:w="9648"/>
      </w:tblGrid>
      <w:tr>
        <w:tc>
          <w:tcPr>
            <w:tcW w:type="dxa" w:w="9752"/>
            <w:shd w:fill="E2F0D9"/>
            <w:tcMar>
              <w:top w:w="80" w:type="dxa"/>
              <w:start w:w="120" w:type="dxa"/>
              <w:bottom w:w="80" w:type="dxa"/>
              <w:end w:w="120" w:type="dxa"/>
            </w:tcMar>
          </w:tcPr>
          <w:p>
            <w:pPr>
              <w:spacing w:after="0" w:line="252" w:lineRule="auto"/>
            </w:pPr>
            <w:r>
              <w:rPr>
                <w:rFonts w:ascii="Arial" w:hAnsi="Arial"/>
                <w:b/>
                <w:color w:val="17365D"/>
                <w:sz w:val="19"/>
              </w:rPr>
              <w:t xml:space="preserve">DOCUMENTARILY VERIFIED - DOCUMENT CONTENT: </w:t>
            </w:r>
            <w:r>
              <w:rPr>
                <w:rFonts w:ascii="Arial" w:hAnsi="Arial"/>
                <w:color w:val="000000"/>
                <w:sz w:val="19"/>
              </w:rPr>
              <w:t>The letter states that the applicant had 16 severe illnesses, requests examination by experts from a neutral nation and an independent health assessment, and asks to be sent to another democratic European country, giving Switzerland as an example. [D1, p. 1]</w:t>
            </w:r>
          </w:p>
        </w:tc>
      </w:tr>
    </w:tbl>
    <w:p>
      <w:pPr>
        <w:spacing w:after="80" w:before="0"/>
      </w:pPr>
    </w:p>
    <w:tbl>
      <w:tblPr>
        <w:tblW w:type="auto" w:w="0"/>
        <w:jc w:val="center"/>
        <w:tblLayout w:type="fixed"/>
        <w:tblLook w:firstColumn="1" w:firstRow="1" w:lastColumn="0" w:lastRow="0" w:noHBand="0" w:noVBand="1" w:val="04A0"/>
        <w:tblBorders>
          <w:top w:val="single" w:sz="2" w:space="0" w:color="E2F0D9"/>
          <w:left w:val="single" w:sz="2" w:space="0" w:color="E2F0D9"/>
          <w:bottom w:val="single" w:sz="2" w:space="0" w:color="E2F0D9"/>
          <w:right w:val="single" w:sz="2" w:space="0" w:color="E2F0D9"/>
          <w:insideH w:val="single" w:sz="2" w:space="0" w:color="E2F0D9"/>
          <w:insideV w:val="single" w:sz="2" w:space="0" w:color="E2F0D9"/>
        </w:tblBorders>
      </w:tblPr>
      <w:tblGrid>
        <w:gridCol w:w="9648"/>
      </w:tblGrid>
      <w:tr>
        <w:tc>
          <w:tcPr>
            <w:tcW w:type="dxa" w:w="9752"/>
            <w:shd w:fill="E2F0D9"/>
            <w:tcMar>
              <w:top w:w="80" w:type="dxa"/>
              <w:start w:w="120" w:type="dxa"/>
              <w:bottom w:w="80" w:type="dxa"/>
              <w:end w:w="120" w:type="dxa"/>
            </w:tcMar>
          </w:tcPr>
          <w:p>
            <w:pPr>
              <w:spacing w:after="0" w:line="252" w:lineRule="auto"/>
            </w:pPr>
            <w:r>
              <w:rPr>
                <w:rFonts w:ascii="Arial" w:hAnsi="Arial"/>
                <w:b/>
                <w:color w:val="17365D"/>
                <w:sz w:val="19"/>
              </w:rPr>
              <w:t xml:space="preserve">DOCUMENTARILY VERIFIED - DOCUMENT CONTENT: </w:t>
            </w:r>
            <w:r>
              <w:rPr>
                <w:rFonts w:ascii="Arial" w:hAnsi="Arial"/>
                <w:color w:val="000000"/>
                <w:sz w:val="19"/>
              </w:rPr>
              <w:t>The letter states that two video CDs and two CDs containing documents were enclosed. This proves that the letter represented four evidence carriers as accompanying the submission; the uploaded page alone does not independently prove that every carrier was physically received, inventoried or reviewed. [D1, p. 1]</w:t>
            </w:r>
          </w:p>
        </w:tc>
      </w:tr>
    </w:tbl>
    <w:p>
      <w:pPr>
        <w:spacing w:after="80" w:before="0"/>
      </w:pPr>
    </w:p>
    <w:tbl>
      <w:tblPr>
        <w:tblW w:type="auto" w:w="0"/>
        <w:jc w:val="center"/>
        <w:tblLayout w:type="fixed"/>
        <w:tblLook w:firstColumn="1" w:firstRow="1" w:lastColumn="0" w:lastRow="0" w:noHBand="0" w:noVBand="1" w:val="04A0"/>
        <w:tblBorders>
          <w:top w:val="single" w:sz="2" w:space="0" w:color="FFF2CC"/>
          <w:left w:val="single" w:sz="2" w:space="0" w:color="FFF2CC"/>
          <w:bottom w:val="single" w:sz="2" w:space="0" w:color="FFF2CC"/>
          <w:right w:val="single" w:sz="2" w:space="0" w:color="FFF2CC"/>
          <w:insideH w:val="single" w:sz="2" w:space="0" w:color="FFF2CC"/>
          <w:insideV w:val="single" w:sz="2" w:space="0" w:color="FFF2CC"/>
        </w:tblBorders>
      </w:tblPr>
      <w:tblGrid>
        <w:gridCol w:w="9648"/>
      </w:tblGrid>
      <w:tr>
        <w:tc>
          <w:tcPr>
            <w:tcW w:type="dxa" w:w="9752"/>
            <w:shd w:fill="FFF2CC"/>
            <w:tcMar>
              <w:top w:w="80" w:type="dxa"/>
              <w:start w:w="120" w:type="dxa"/>
              <w:bottom w:w="80" w:type="dxa"/>
              <w:end w:w="120" w:type="dxa"/>
            </w:tcMar>
          </w:tcPr>
          <w:p>
            <w:pPr>
              <w:spacing w:after="0" w:line="252" w:lineRule="auto"/>
            </w:pPr>
            <w:r>
              <w:rPr>
                <w:rFonts w:ascii="Arial" w:hAnsi="Arial"/>
                <w:b/>
                <w:color w:val="17365D"/>
                <w:sz w:val="19"/>
              </w:rPr>
              <w:t xml:space="preserve">DOCUMENTARY LIMIT: </w:t>
            </w:r>
            <w:r>
              <w:rPr>
                <w:rFonts w:ascii="Arial" w:hAnsi="Arial"/>
                <w:color w:val="000000"/>
                <w:sz w:val="19"/>
              </w:rPr>
              <w:t>The uploaded record contains no reply from Raphaels-Werk, no internal file number, no routing note, no staff note, no telephone record, no emergency referral, no enclosure inventory and no action or closure record. Their absence from the upload is a material evidentiary gap; it is not proof that no action occurred.</w:t>
            </w:r>
          </w:p>
        </w:tc>
      </w:tr>
    </w:tbl>
    <w:p>
      <w:pPr>
        <w:spacing w:after="80" w:before="0"/>
      </w:pPr>
    </w:p>
    <w:tbl>
      <w:tblPr>
        <w:tblW w:type="auto" w:w="0"/>
        <w:jc w:val="center"/>
        <w:tblLayout w:type="fixed"/>
        <w:tblLook w:firstColumn="1" w:firstRow="1" w:lastColumn="0" w:lastRow="0" w:noHBand="0" w:noVBand="1" w:val="04A0"/>
        <w:tblBorders>
          <w:top w:val="single" w:sz="2" w:space="0" w:color="EAF2F8"/>
          <w:left w:val="single" w:sz="2" w:space="0" w:color="EAF2F8"/>
          <w:bottom w:val="single" w:sz="2" w:space="0" w:color="EAF2F8"/>
          <w:right w:val="single" w:sz="2" w:space="0" w:color="EAF2F8"/>
          <w:insideH w:val="single" w:sz="2" w:space="0" w:color="EAF2F8"/>
          <w:insideV w:val="single" w:sz="2" w:space="0" w:color="EAF2F8"/>
        </w:tblBorders>
      </w:tblPr>
      <w:tblGrid>
        <w:gridCol w:w="9648"/>
      </w:tblGrid>
      <w:tr>
        <w:tc>
          <w:tcPr>
            <w:tcW w:type="dxa" w:w="9752"/>
            <w:shd w:fill="EAF2F8"/>
            <w:tcMar>
              <w:top w:w="80" w:type="dxa"/>
              <w:start w:w="120" w:type="dxa"/>
              <w:bottom w:w="80" w:type="dxa"/>
              <w:end w:w="120" w:type="dxa"/>
            </w:tcMar>
          </w:tcPr>
          <w:p>
            <w:pPr>
              <w:spacing w:after="0" w:line="252" w:lineRule="auto"/>
            </w:pPr>
            <w:r>
              <w:rPr>
                <w:rFonts w:ascii="Arial" w:hAnsi="Arial"/>
                <w:b/>
                <w:color w:val="17365D"/>
                <w:sz w:val="19"/>
              </w:rPr>
              <w:t xml:space="preserve">LEGAL CONCLUSION: </w:t>
            </w:r>
            <w:r>
              <w:rPr>
                <w:rFonts w:ascii="Arial" w:hAnsi="Arial"/>
                <w:color w:val="000000"/>
                <w:sz w:val="19"/>
              </w:rPr>
              <w:t>The current source conclusively proves institutional receipt and the content of the warning. It does not, by itself, prove unlawful non-action, causation, a special legal duty under German criminal law, or a final violation by Raphaels-Werk. Any responsible finding of liability requires the recipient-side records identified in this report.</w:t>
            </w:r>
          </w:p>
        </w:tc>
      </w:tr>
    </w:tbl>
    <w:p>
      <w:pPr>
        <w:spacing w:after="80" w:before="0"/>
      </w:pPr>
    </w:p>
    <w:p>
      <w:pPr>
        <w:pStyle w:val="Heading1"/>
        <w:keepNext/>
        <w:spacing w:before="200" w:after="80"/>
      </w:pPr>
      <w:r>
        <w:t>1. Mandate and Scope</w:t>
      </w:r>
    </w:p>
    <w:p>
      <w:pPr>
        <w:spacing w:after="100" w:line="259" w:lineRule="auto"/>
      </w:pPr>
      <w:r>
        <w:rPr>
          <w:rFonts w:ascii="Arial" w:hAnsi="Arial"/>
          <w:i w:val="0"/>
          <w:sz w:val="20"/>
        </w:rPr>
        <w:t>This Report No. 11 was prepared at the applicant’s express request from the uploaded one-page PDF identified as Raphaels-Werk(1).pdf. The factual analysis is strictly confined to what is visible in that source. Earlier reports, later narratives, and external factual allegations have not been used to enlarge the factual record of this report.</w:t>
      </w:r>
    </w:p>
    <w:p>
      <w:pPr>
        <w:spacing w:after="100" w:line="259" w:lineRule="auto"/>
      </w:pPr>
      <w:r>
        <w:rPr>
          <w:rFonts w:ascii="Arial" w:hAnsi="Arial"/>
          <w:i w:val="0"/>
          <w:sz w:val="20"/>
        </w:rPr>
        <w:t>Official legal texts are used only to identify the legal framework. They are not used to add factual events that are absent from the uploaded source.</w:t>
      </w:r>
    </w:p>
    <w:p>
      <w:pPr>
        <w:spacing w:after="100" w:line="259" w:lineRule="auto"/>
      </w:pPr>
      <w:r>
        <w:rPr>
          <w:rFonts w:ascii="Arial" w:hAnsi="Arial"/>
          <w:i w:val="0"/>
          <w:sz w:val="20"/>
        </w:rPr>
        <w:t>The report distinguishes three categories:</w:t>
      </w:r>
    </w:p>
    <w:p>
      <w:pPr>
        <w:pStyle w:val="ListBullet"/>
        <w:spacing w:after="40" w:line="252" w:lineRule="auto"/>
      </w:pPr>
      <w:r>
        <w:rPr>
          <w:rFonts w:ascii="Arial" w:hAnsi="Arial"/>
          <w:b/>
          <w:color w:val="17365D"/>
          <w:sz w:val="19"/>
        </w:rPr>
        <w:t xml:space="preserve">DOCUMENTARILY VERIFIED: </w:t>
      </w:r>
      <w:r>
        <w:rPr>
          <w:rFonts w:ascii="Arial" w:hAnsi="Arial"/>
          <w:sz w:val="19"/>
        </w:rPr>
        <w:t>a fact visible directly in D1, including the letter date, recipient, receipt stamp, exact warning, stated requests and stated enclosures;</w:t>
      </w:r>
    </w:p>
    <w:p>
      <w:pPr>
        <w:pStyle w:val="ListBullet"/>
        <w:spacing w:after="40" w:line="252" w:lineRule="auto"/>
      </w:pPr>
      <w:r>
        <w:rPr>
          <w:rFonts w:ascii="Arial" w:hAnsi="Arial"/>
          <w:b/>
          <w:color w:val="17365D"/>
          <w:sz w:val="19"/>
        </w:rPr>
        <w:t xml:space="preserve">RECORDED APPLICANT STATEMENT: </w:t>
      </w:r>
      <w:r>
        <w:rPr>
          <w:rFonts w:ascii="Arial" w:hAnsi="Arial"/>
          <w:sz w:val="19"/>
        </w:rPr>
        <w:t>an allegation or medical statement appearing in the letter, verified as content of the document but not independently proven as true by this source;</w:t>
      </w:r>
    </w:p>
    <w:p>
      <w:pPr>
        <w:pStyle w:val="ListBullet"/>
        <w:spacing w:after="40" w:line="252" w:lineRule="auto"/>
      </w:pPr>
      <w:r>
        <w:rPr>
          <w:rFonts w:ascii="Arial" w:hAnsi="Arial"/>
          <w:b/>
          <w:color w:val="17365D"/>
          <w:sz w:val="19"/>
        </w:rPr>
        <w:t xml:space="preserve">VERIFICATION REQUIRED: </w:t>
      </w:r>
      <w:r>
        <w:rPr>
          <w:rFonts w:ascii="Arial" w:hAnsi="Arial"/>
          <w:sz w:val="19"/>
        </w:rPr>
        <w:t>a matter that cannot be determined without further recipient, medical, postal or institutional records.</w:t>
      </w:r>
    </w:p>
    <w:p>
      <w:r>
        <w:br w:type="page"/>
      </w:r>
    </w:p>
    <w:p>
      <w:pPr>
        <w:pStyle w:val="Heading1"/>
        <w:keepNext/>
        <w:spacing w:before="200" w:after="80"/>
      </w:pPr>
      <w:r>
        <w:t>2. Source Register and Digital Integrity</w:t>
      </w:r>
    </w:p>
    <w:tbl>
      <w:tblPr>
        <w:tblW w:type="auto" w:w="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1393"/>
        <w:gridCol w:w="1393"/>
        <w:gridCol w:w="1393"/>
        <w:gridCol w:w="1393"/>
        <w:gridCol w:w="1393"/>
        <w:gridCol w:w="1393"/>
        <w:gridCol w:w="1393"/>
      </w:tblGrid>
      <w:tr>
        <w:trPr>
          <w:tblHeader w:val="true"/>
          <w:cantSplit/>
        </w:trPr>
        <w:tc>
          <w:tcPr>
            <w:tcW w:type="dxa" w:w="648"/>
            <w:shd w:fill="17365D"/>
            <w:tcMar>
              <w:top w:w="80" w:type="dxa"/>
              <w:start w:w="90" w:type="dxa"/>
              <w:bottom w:w="80" w:type="dxa"/>
              <w:end w:w="90" w:type="dxa"/>
            </w:tcMar>
            <w:vAlign w:val="center"/>
          </w:tcPr>
          <w:p>
            <w:pPr>
              <w:spacing w:after="0"/>
              <w:jc w:val="left"/>
            </w:pPr>
            <w:r>
              <w:rPr>
                <w:rFonts w:ascii="Arial" w:hAnsi="Arial"/>
                <w:b/>
                <w:color w:val="FFFFFF"/>
                <w:sz w:val="17"/>
              </w:rPr>
              <w:t>Code</w:t>
            </w:r>
          </w:p>
        </w:tc>
        <w:tc>
          <w:tcPr>
            <w:tcW w:type="dxa" w:w="1512"/>
            <w:shd w:fill="17365D"/>
            <w:tcMar>
              <w:top w:w="80" w:type="dxa"/>
              <w:start w:w="90" w:type="dxa"/>
              <w:bottom w:w="80" w:type="dxa"/>
              <w:end w:w="90" w:type="dxa"/>
            </w:tcMar>
            <w:vAlign w:val="center"/>
          </w:tcPr>
          <w:p>
            <w:pPr>
              <w:spacing w:after="0"/>
              <w:jc w:val="left"/>
            </w:pPr>
            <w:r>
              <w:rPr>
                <w:rFonts w:ascii="Arial" w:hAnsi="Arial"/>
                <w:b/>
                <w:color w:val="FFFFFF"/>
                <w:sz w:val="17"/>
              </w:rPr>
              <w:t>File</w:t>
            </w:r>
          </w:p>
        </w:tc>
        <w:tc>
          <w:tcPr>
            <w:tcW w:type="dxa" w:w="792"/>
            <w:shd w:fill="17365D"/>
            <w:tcMar>
              <w:top w:w="80" w:type="dxa"/>
              <w:start w:w="90" w:type="dxa"/>
              <w:bottom w:w="80" w:type="dxa"/>
              <w:end w:w="90" w:type="dxa"/>
            </w:tcMar>
            <w:vAlign w:val="center"/>
          </w:tcPr>
          <w:p>
            <w:pPr>
              <w:spacing w:after="0"/>
              <w:jc w:val="left"/>
            </w:pPr>
            <w:r>
              <w:rPr>
                <w:rFonts w:ascii="Arial" w:hAnsi="Arial"/>
                <w:b/>
                <w:color w:val="FFFFFF"/>
                <w:sz w:val="17"/>
              </w:rPr>
              <w:t>Extent</w:t>
            </w:r>
          </w:p>
        </w:tc>
        <w:tc>
          <w:tcPr>
            <w:tcW w:type="dxa" w:w="1224"/>
            <w:shd w:fill="17365D"/>
            <w:tcMar>
              <w:top w:w="80" w:type="dxa"/>
              <w:start w:w="90" w:type="dxa"/>
              <w:bottom w:w="80" w:type="dxa"/>
              <w:end w:w="90" w:type="dxa"/>
            </w:tcMar>
            <w:vAlign w:val="center"/>
          </w:tcPr>
          <w:p>
            <w:pPr>
              <w:spacing w:after="0"/>
              <w:jc w:val="left"/>
            </w:pPr>
            <w:r>
              <w:rPr>
                <w:rFonts w:ascii="Arial" w:hAnsi="Arial"/>
                <w:b/>
                <w:color w:val="FFFFFF"/>
                <w:sz w:val="17"/>
              </w:rPr>
              <w:t>Document date</w:t>
            </w:r>
          </w:p>
        </w:tc>
        <w:tc>
          <w:tcPr>
            <w:tcW w:type="dxa" w:w="1512"/>
            <w:shd w:fill="17365D"/>
            <w:tcMar>
              <w:top w:w="80" w:type="dxa"/>
              <w:start w:w="90" w:type="dxa"/>
              <w:bottom w:w="80" w:type="dxa"/>
              <w:end w:w="90" w:type="dxa"/>
            </w:tcMar>
            <w:vAlign w:val="center"/>
          </w:tcPr>
          <w:p>
            <w:pPr>
              <w:spacing w:after="0"/>
              <w:jc w:val="left"/>
            </w:pPr>
            <w:r>
              <w:rPr>
                <w:rFonts w:ascii="Arial" w:hAnsi="Arial"/>
                <w:b/>
                <w:color w:val="FFFFFF"/>
                <w:sz w:val="17"/>
              </w:rPr>
              <w:t>Receipt / delivery date</w:t>
            </w:r>
          </w:p>
        </w:tc>
        <w:tc>
          <w:tcPr>
            <w:tcW w:type="dxa" w:w="1872"/>
            <w:shd w:fill="17365D"/>
            <w:tcMar>
              <w:top w:w="80" w:type="dxa"/>
              <w:start w:w="90" w:type="dxa"/>
              <w:bottom w:w="80" w:type="dxa"/>
              <w:end w:w="90" w:type="dxa"/>
            </w:tcMar>
            <w:vAlign w:val="center"/>
          </w:tcPr>
          <w:p>
            <w:pPr>
              <w:spacing w:after="0"/>
              <w:jc w:val="left"/>
            </w:pPr>
            <w:r>
              <w:rPr>
                <w:rFonts w:ascii="Arial" w:hAnsi="Arial"/>
                <w:b/>
                <w:color w:val="FFFFFF"/>
                <w:sz w:val="17"/>
              </w:rPr>
              <w:t>Numbers visible</w:t>
            </w:r>
          </w:p>
        </w:tc>
        <w:tc>
          <w:tcPr>
            <w:tcW w:type="dxa" w:w="2952"/>
            <w:shd w:fill="17365D"/>
            <w:tcMar>
              <w:top w:w="80" w:type="dxa"/>
              <w:start w:w="90" w:type="dxa"/>
              <w:bottom w:w="80" w:type="dxa"/>
              <w:end w:w="90" w:type="dxa"/>
            </w:tcMar>
            <w:vAlign w:val="center"/>
          </w:tcPr>
          <w:p>
            <w:pPr>
              <w:spacing w:after="0"/>
              <w:jc w:val="left"/>
            </w:pPr>
            <w:r>
              <w:rPr>
                <w:rFonts w:ascii="Arial" w:hAnsi="Arial"/>
                <w:b/>
                <w:color w:val="FFFFFF"/>
                <w:sz w:val="17"/>
              </w:rPr>
              <w:t>Use in report</w:t>
            </w:r>
          </w:p>
        </w:tc>
      </w:tr>
      <w:tr>
        <w:trPr>
          <w:cantSplit/>
        </w:trPr>
        <w:tc>
          <w:tcPr>
            <w:tcW w:type="dxa" w:w="648"/>
            <w:tcMar>
              <w:top w:w="80" w:type="dxa"/>
              <w:start w:w="90" w:type="dxa"/>
              <w:bottom w:w="80" w:type="dxa"/>
              <w:end w:w="90" w:type="dxa"/>
            </w:tcMar>
            <w:vAlign w:val="top"/>
          </w:tcPr>
          <w:p>
            <w:pPr>
              <w:spacing w:after="0" w:line="240" w:lineRule="auto"/>
            </w:pPr>
            <w:r>
              <w:rPr>
                <w:rFonts w:ascii="Arial" w:hAnsi="Arial"/>
                <w:sz w:val="15"/>
              </w:rPr>
              <w:t>D1</w:t>
            </w:r>
          </w:p>
        </w:tc>
        <w:tc>
          <w:tcPr>
            <w:tcW w:type="dxa" w:w="1512"/>
            <w:tcMar>
              <w:top w:w="80" w:type="dxa"/>
              <w:start w:w="90" w:type="dxa"/>
              <w:bottom w:w="80" w:type="dxa"/>
              <w:end w:w="90" w:type="dxa"/>
            </w:tcMar>
            <w:vAlign w:val="top"/>
          </w:tcPr>
          <w:p>
            <w:pPr>
              <w:spacing w:after="0" w:line="240" w:lineRule="auto"/>
            </w:pPr>
            <w:r>
              <w:rPr>
                <w:rFonts w:ascii="Arial" w:hAnsi="Arial"/>
                <w:sz w:val="15"/>
              </w:rPr>
              <w:t>Raphaels-Werk(1).pdf</w:t>
            </w:r>
          </w:p>
        </w:tc>
        <w:tc>
          <w:tcPr>
            <w:tcW w:type="dxa" w:w="792"/>
            <w:tcMar>
              <w:top w:w="80" w:type="dxa"/>
              <w:start w:w="90" w:type="dxa"/>
              <w:bottom w:w="80" w:type="dxa"/>
              <w:end w:w="90" w:type="dxa"/>
            </w:tcMar>
            <w:vAlign w:val="top"/>
          </w:tcPr>
          <w:p>
            <w:pPr>
              <w:spacing w:after="0" w:line="240" w:lineRule="auto"/>
            </w:pPr>
            <w:r>
              <w:rPr>
                <w:rFonts w:ascii="Arial" w:hAnsi="Arial"/>
                <w:sz w:val="15"/>
              </w:rPr>
              <w:t>1 page</w:t>
            </w:r>
          </w:p>
        </w:tc>
        <w:tc>
          <w:tcPr>
            <w:tcW w:type="dxa" w:w="1224"/>
            <w:tcMar>
              <w:top w:w="80" w:type="dxa"/>
              <w:start w:w="90" w:type="dxa"/>
              <w:bottom w:w="80" w:type="dxa"/>
              <w:end w:w="90" w:type="dxa"/>
            </w:tcMar>
            <w:vAlign w:val="top"/>
          </w:tcPr>
          <w:p>
            <w:pPr>
              <w:spacing w:after="0" w:line="240" w:lineRule="auto"/>
            </w:pPr>
            <w:r>
              <w:rPr>
                <w:rFonts w:ascii="Arial" w:hAnsi="Arial"/>
                <w:sz w:val="15"/>
              </w:rPr>
              <w:t>15 April 2009</w:t>
            </w:r>
          </w:p>
        </w:tc>
        <w:tc>
          <w:tcPr>
            <w:tcW w:type="dxa" w:w="1512"/>
            <w:tcMar>
              <w:top w:w="80" w:type="dxa"/>
              <w:start w:w="90" w:type="dxa"/>
              <w:bottom w:w="80" w:type="dxa"/>
              <w:end w:w="90" w:type="dxa"/>
            </w:tcMar>
            <w:vAlign w:val="top"/>
          </w:tcPr>
          <w:p>
            <w:pPr>
              <w:spacing w:after="0" w:line="240" w:lineRule="auto"/>
            </w:pPr>
            <w:r>
              <w:rPr>
                <w:rFonts w:ascii="Arial" w:hAnsi="Arial"/>
                <w:sz w:val="15"/>
              </w:rPr>
              <w:t>Incoming stamp: 22 April 2009</w:t>
            </w:r>
          </w:p>
        </w:tc>
        <w:tc>
          <w:tcPr>
            <w:tcW w:type="dxa" w:w="1872"/>
            <w:tcMar>
              <w:top w:w="80" w:type="dxa"/>
              <w:start w:w="90" w:type="dxa"/>
              <w:bottom w:w="80" w:type="dxa"/>
              <w:end w:w="90" w:type="dxa"/>
            </w:tcMar>
            <w:vAlign w:val="top"/>
          </w:tcPr>
          <w:p>
            <w:pPr>
              <w:spacing w:after="0" w:line="240" w:lineRule="auto"/>
            </w:pPr>
            <w:r>
              <w:rPr>
                <w:rFonts w:ascii="Arial" w:hAnsi="Arial"/>
                <w:sz w:val="15"/>
              </w:rPr>
              <w:t>No case, file, registration or postal tracking number is visible</w:t>
            </w:r>
          </w:p>
        </w:tc>
        <w:tc>
          <w:tcPr>
            <w:tcW w:type="dxa" w:w="2952"/>
            <w:tcMar>
              <w:top w:w="80" w:type="dxa"/>
              <w:start w:w="90" w:type="dxa"/>
              <w:bottom w:w="80" w:type="dxa"/>
              <w:end w:w="90" w:type="dxa"/>
            </w:tcMar>
            <w:vAlign w:val="top"/>
          </w:tcPr>
          <w:p>
            <w:pPr>
              <w:spacing w:after="0" w:line="240" w:lineRule="auto"/>
            </w:pPr>
            <w:r>
              <w:rPr>
                <w:rFonts w:ascii="Arial" w:hAnsi="Arial"/>
                <w:sz w:val="15"/>
              </w:rPr>
              <w:t>Signed letter from Ismail Rustem to Raphaels-Werk; explicit suicide warning; self-reported medical list; requests for neutral examination and relocation; statement of four enclosed CDs.</w:t>
            </w:r>
          </w:p>
        </w:tc>
      </w:tr>
    </w:tbl>
    <w:p>
      <w:pPr>
        <w:spacing w:after="40"/>
      </w:pPr>
    </w:p>
    <w:p>
      <w:pPr>
        <w:spacing w:after="60" w:line="259" w:lineRule="auto"/>
      </w:pPr>
      <w:r>
        <w:rPr>
          <w:rFonts w:ascii="Arial" w:hAnsi="Arial"/>
          <w:i/>
          <w:sz w:val="20"/>
        </w:rPr>
        <w:t>Digital file integrity note: the uploaded PDF is 208,605 bytes and has SHA-256 value 2aef649e9b4546de8fbb685c49f31399136a0498d609591e22ea95bf7f7408f1. This hash authenticates the analysed digital copy, not the original paper document or any alleged CD enclosures.</w:t>
      </w:r>
    </w:p>
    <w:p>
      <w:r>
        <w:br w:type="page"/>
      </w:r>
    </w:p>
    <w:p>
      <w:pPr>
        <w:pStyle w:val="Heading1"/>
        <w:keepNext/>
        <w:spacing w:before="200" w:after="80"/>
      </w:pPr>
      <w:r>
        <w:t>3. Identified Document and Chronology</w:t>
      </w:r>
    </w:p>
    <w:tbl>
      <w:tblPr>
        <w:tblW w:type="auto" w:w="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3251"/>
        <w:gridCol w:w="3251"/>
        <w:gridCol w:w="3251"/>
      </w:tblGrid>
      <w:tr>
        <w:trPr>
          <w:tblHeader w:val="true"/>
          <w:cantSplit/>
        </w:trPr>
        <w:tc>
          <w:tcPr>
            <w:tcW w:type="dxa" w:w="1512"/>
            <w:shd w:fill="17365D"/>
            <w:tcMar>
              <w:top w:w="80" w:type="dxa"/>
              <w:start w:w="90" w:type="dxa"/>
              <w:bottom w:w="80" w:type="dxa"/>
              <w:end w:w="90" w:type="dxa"/>
            </w:tcMar>
            <w:vAlign w:val="center"/>
          </w:tcPr>
          <w:p>
            <w:pPr>
              <w:spacing w:after="0"/>
              <w:jc w:val="left"/>
            </w:pPr>
            <w:r>
              <w:rPr>
                <w:rFonts w:ascii="Arial" w:hAnsi="Arial"/>
                <w:b/>
                <w:color w:val="FFFFFF"/>
                <w:sz w:val="17"/>
              </w:rPr>
              <w:t>Date</w:t>
            </w:r>
          </w:p>
        </w:tc>
        <w:tc>
          <w:tcPr>
            <w:tcW w:type="dxa" w:w="6120"/>
            <w:shd w:fill="17365D"/>
            <w:tcMar>
              <w:top w:w="80" w:type="dxa"/>
              <w:start w:w="90" w:type="dxa"/>
              <w:bottom w:w="80" w:type="dxa"/>
              <w:end w:w="90" w:type="dxa"/>
            </w:tcMar>
            <w:vAlign w:val="center"/>
          </w:tcPr>
          <w:p>
            <w:pPr>
              <w:spacing w:after="0"/>
              <w:jc w:val="left"/>
            </w:pPr>
            <w:r>
              <w:rPr>
                <w:rFonts w:ascii="Arial" w:hAnsi="Arial"/>
                <w:b/>
                <w:color w:val="FFFFFF"/>
                <w:sz w:val="17"/>
              </w:rPr>
              <w:t>Event recorded in D1</w:t>
            </w:r>
          </w:p>
        </w:tc>
        <w:tc>
          <w:tcPr>
            <w:tcW w:type="dxa" w:w="1944"/>
            <w:shd w:fill="17365D"/>
            <w:tcMar>
              <w:top w:w="80" w:type="dxa"/>
              <w:start w:w="90" w:type="dxa"/>
              <w:bottom w:w="80" w:type="dxa"/>
              <w:end w:w="90" w:type="dxa"/>
            </w:tcMar>
            <w:vAlign w:val="center"/>
          </w:tcPr>
          <w:p>
            <w:pPr>
              <w:spacing w:after="0"/>
              <w:jc w:val="left"/>
            </w:pPr>
            <w:r>
              <w:rPr>
                <w:rFonts w:ascii="Arial" w:hAnsi="Arial"/>
                <w:b/>
                <w:color w:val="FFFFFF"/>
                <w:sz w:val="17"/>
              </w:rPr>
              <w:t>Evidence status</w:t>
            </w:r>
          </w:p>
        </w:tc>
      </w:tr>
      <w:tr>
        <w:trPr>
          <w:cantSplit/>
        </w:trPr>
        <w:tc>
          <w:tcPr>
            <w:tcW w:type="dxa" w:w="1512"/>
            <w:tcMar>
              <w:top w:w="80" w:type="dxa"/>
              <w:start w:w="90" w:type="dxa"/>
              <w:bottom w:w="80" w:type="dxa"/>
              <w:end w:w="90" w:type="dxa"/>
            </w:tcMar>
            <w:vAlign w:val="top"/>
          </w:tcPr>
          <w:p>
            <w:pPr>
              <w:spacing w:after="0" w:line="240" w:lineRule="auto"/>
            </w:pPr>
            <w:r>
              <w:rPr>
                <w:rFonts w:ascii="Arial" w:hAnsi="Arial"/>
                <w:sz w:val="16"/>
              </w:rPr>
              <w:t>15 April 2009</w:t>
            </w:r>
          </w:p>
        </w:tc>
        <w:tc>
          <w:tcPr>
            <w:tcW w:type="dxa" w:w="6120"/>
            <w:tcMar>
              <w:top w:w="80" w:type="dxa"/>
              <w:start w:w="90" w:type="dxa"/>
              <w:bottom w:w="80" w:type="dxa"/>
              <w:end w:w="90" w:type="dxa"/>
            </w:tcMar>
            <w:vAlign w:val="top"/>
          </w:tcPr>
          <w:p>
            <w:pPr>
              <w:spacing w:after="0" w:line="240" w:lineRule="auto"/>
            </w:pPr>
            <w:r>
              <w:rPr>
                <w:rFonts w:ascii="Arial" w:hAnsi="Arial"/>
                <w:sz w:val="16"/>
              </w:rPr>
              <w:t>The letter is dated in Berlin and addressed to Raphaels-Werk, Residenzstr. 90, 13409 Berlin.</w:t>
            </w:r>
          </w:p>
        </w:tc>
        <w:tc>
          <w:tcPr>
            <w:tcW w:type="dxa" w:w="1944"/>
            <w:tcMar>
              <w:top w:w="80" w:type="dxa"/>
              <w:start w:w="90" w:type="dxa"/>
              <w:bottom w:w="80" w:type="dxa"/>
              <w:end w:w="90" w:type="dxa"/>
            </w:tcMar>
            <w:vAlign w:val="top"/>
          </w:tcPr>
          <w:p>
            <w:pPr>
              <w:spacing w:after="0" w:line="240" w:lineRule="auto"/>
            </w:pPr>
            <w:r>
              <w:rPr>
                <w:rFonts w:ascii="Arial" w:hAnsi="Arial"/>
                <w:sz w:val="16"/>
              </w:rPr>
              <w:t>DOCUMENTARILY VERIFIED</w:t>
            </w:r>
          </w:p>
        </w:tc>
      </w:tr>
      <w:tr>
        <w:trPr>
          <w:cantSplit/>
        </w:trPr>
        <w:tc>
          <w:tcPr>
            <w:tcW w:type="dxa" w:w="1512"/>
            <w:tcMar>
              <w:top w:w="80" w:type="dxa"/>
              <w:start w:w="90" w:type="dxa"/>
              <w:bottom w:w="80" w:type="dxa"/>
              <w:end w:w="90" w:type="dxa"/>
            </w:tcMar>
            <w:vAlign w:val="top"/>
          </w:tcPr>
          <w:p>
            <w:pPr>
              <w:spacing w:after="0" w:line="240" w:lineRule="auto"/>
            </w:pPr>
            <w:r>
              <w:rPr>
                <w:rFonts w:ascii="Arial" w:hAnsi="Arial"/>
                <w:sz w:val="16"/>
              </w:rPr>
              <w:t>15 April 2009</w:t>
            </w:r>
          </w:p>
        </w:tc>
        <w:tc>
          <w:tcPr>
            <w:tcW w:type="dxa" w:w="6120"/>
            <w:tcMar>
              <w:top w:w="80" w:type="dxa"/>
              <w:start w:w="90" w:type="dxa"/>
              <w:bottom w:w="80" w:type="dxa"/>
              <w:end w:w="90" w:type="dxa"/>
            </w:tcMar>
            <w:vAlign w:val="top"/>
          </w:tcPr>
          <w:p>
            <w:pPr>
              <w:spacing w:after="0" w:line="240" w:lineRule="auto"/>
            </w:pPr>
            <w:r>
              <w:rPr>
                <w:rFonts w:ascii="Arial" w:hAnsi="Arial"/>
                <w:sz w:val="16"/>
              </w:rPr>
              <w:t>The letter states that the applicant had 16 severe illnesses and asks for a neutral expert examination and independent health report.</w:t>
            </w:r>
          </w:p>
        </w:tc>
        <w:tc>
          <w:tcPr>
            <w:tcW w:type="dxa" w:w="1944"/>
            <w:tcMar>
              <w:top w:w="80" w:type="dxa"/>
              <w:start w:w="90" w:type="dxa"/>
              <w:bottom w:w="80" w:type="dxa"/>
              <w:end w:w="90" w:type="dxa"/>
            </w:tcMar>
            <w:vAlign w:val="top"/>
          </w:tcPr>
          <w:p>
            <w:pPr>
              <w:spacing w:after="0" w:line="240" w:lineRule="auto"/>
            </w:pPr>
            <w:r>
              <w:rPr>
                <w:rFonts w:ascii="Arial" w:hAnsi="Arial"/>
                <w:sz w:val="16"/>
              </w:rPr>
              <w:t>DOCUMENTARILY VERIFIED as document content; medical truth not independently verified</w:t>
            </w:r>
          </w:p>
        </w:tc>
      </w:tr>
      <w:tr>
        <w:trPr>
          <w:cantSplit/>
        </w:trPr>
        <w:tc>
          <w:tcPr>
            <w:tcW w:type="dxa" w:w="1512"/>
            <w:tcMar>
              <w:top w:w="80" w:type="dxa"/>
              <w:start w:w="90" w:type="dxa"/>
              <w:bottom w:w="80" w:type="dxa"/>
              <w:end w:w="90" w:type="dxa"/>
            </w:tcMar>
            <w:vAlign w:val="top"/>
          </w:tcPr>
          <w:p>
            <w:pPr>
              <w:spacing w:after="0" w:line="240" w:lineRule="auto"/>
            </w:pPr>
            <w:r>
              <w:rPr>
                <w:rFonts w:ascii="Arial" w:hAnsi="Arial"/>
                <w:sz w:val="16"/>
              </w:rPr>
              <w:t>15 April 2009</w:t>
            </w:r>
          </w:p>
        </w:tc>
        <w:tc>
          <w:tcPr>
            <w:tcW w:type="dxa" w:w="6120"/>
            <w:tcMar>
              <w:top w:w="80" w:type="dxa"/>
              <w:start w:w="90" w:type="dxa"/>
              <w:bottom w:w="80" w:type="dxa"/>
              <w:end w:w="90" w:type="dxa"/>
            </w:tcMar>
            <w:vAlign w:val="top"/>
          </w:tcPr>
          <w:p>
            <w:pPr>
              <w:spacing w:after="0" w:line="240" w:lineRule="auto"/>
            </w:pPr>
            <w:r>
              <w:rPr>
                <w:rFonts w:ascii="Arial" w:hAnsi="Arial"/>
                <w:sz w:val="16"/>
              </w:rPr>
              <w:t>The letter states: the applicant intended to commit suicide on 15 May 2009; his time was limited; and Raphaels-Werk should not later say that he had not asked for help.</w:t>
            </w:r>
          </w:p>
        </w:tc>
        <w:tc>
          <w:tcPr>
            <w:tcW w:type="dxa" w:w="1944"/>
            <w:tcMar>
              <w:top w:w="80" w:type="dxa"/>
              <w:start w:w="90" w:type="dxa"/>
              <w:bottom w:w="80" w:type="dxa"/>
              <w:end w:w="90" w:type="dxa"/>
            </w:tcMar>
            <w:vAlign w:val="top"/>
          </w:tcPr>
          <w:p>
            <w:pPr>
              <w:spacing w:after="0" w:line="240" w:lineRule="auto"/>
            </w:pPr>
            <w:r>
              <w:rPr>
                <w:rFonts w:ascii="Arial" w:hAnsi="Arial"/>
                <w:sz w:val="16"/>
              </w:rPr>
              <w:t>DOCUMENTARILY VERIFIED</w:t>
            </w:r>
          </w:p>
        </w:tc>
      </w:tr>
      <w:tr>
        <w:trPr>
          <w:cantSplit/>
        </w:trPr>
        <w:tc>
          <w:tcPr>
            <w:tcW w:type="dxa" w:w="1512"/>
            <w:tcMar>
              <w:top w:w="80" w:type="dxa"/>
              <w:start w:w="90" w:type="dxa"/>
              <w:bottom w:w="80" w:type="dxa"/>
              <w:end w:w="90" w:type="dxa"/>
            </w:tcMar>
            <w:vAlign w:val="top"/>
          </w:tcPr>
          <w:p>
            <w:pPr>
              <w:spacing w:after="0" w:line="240" w:lineRule="auto"/>
            </w:pPr>
            <w:r>
              <w:rPr>
                <w:rFonts w:ascii="Arial" w:hAnsi="Arial"/>
                <w:sz w:val="16"/>
              </w:rPr>
              <w:t>15 April 2009</w:t>
            </w:r>
          </w:p>
        </w:tc>
        <w:tc>
          <w:tcPr>
            <w:tcW w:type="dxa" w:w="6120"/>
            <w:tcMar>
              <w:top w:w="80" w:type="dxa"/>
              <w:start w:w="90" w:type="dxa"/>
              <w:bottom w:w="80" w:type="dxa"/>
              <w:end w:w="90" w:type="dxa"/>
            </w:tcMar>
            <w:vAlign w:val="top"/>
          </w:tcPr>
          <w:p>
            <w:pPr>
              <w:spacing w:after="0" w:line="240" w:lineRule="auto"/>
            </w:pPr>
            <w:r>
              <w:rPr>
                <w:rFonts w:ascii="Arial" w:hAnsi="Arial"/>
                <w:sz w:val="16"/>
              </w:rPr>
              <w:t>The letter states that two video CDs and two document CDs were enclosed.</w:t>
            </w:r>
          </w:p>
        </w:tc>
        <w:tc>
          <w:tcPr>
            <w:tcW w:type="dxa" w:w="1944"/>
            <w:tcMar>
              <w:top w:w="80" w:type="dxa"/>
              <w:start w:w="90" w:type="dxa"/>
              <w:bottom w:w="80" w:type="dxa"/>
              <w:end w:w="90" w:type="dxa"/>
            </w:tcMar>
            <w:vAlign w:val="top"/>
          </w:tcPr>
          <w:p>
            <w:pPr>
              <w:spacing w:after="0" w:line="240" w:lineRule="auto"/>
            </w:pPr>
            <w:r>
              <w:rPr>
                <w:rFonts w:ascii="Arial" w:hAnsi="Arial"/>
                <w:sz w:val="16"/>
              </w:rPr>
              <w:t>DOCUMENTARILY VERIFIED as representation of enclosure; physical receipt requires verification</w:t>
            </w:r>
          </w:p>
        </w:tc>
      </w:tr>
      <w:tr>
        <w:trPr>
          <w:cantSplit/>
        </w:trPr>
        <w:tc>
          <w:tcPr>
            <w:tcW w:type="dxa" w:w="1512"/>
            <w:tcMar>
              <w:top w:w="80" w:type="dxa"/>
              <w:start w:w="90" w:type="dxa"/>
              <w:bottom w:w="80" w:type="dxa"/>
              <w:end w:w="90" w:type="dxa"/>
            </w:tcMar>
            <w:vAlign w:val="top"/>
          </w:tcPr>
          <w:p>
            <w:pPr>
              <w:spacing w:after="0" w:line="240" w:lineRule="auto"/>
            </w:pPr>
            <w:r>
              <w:rPr>
                <w:rFonts w:ascii="Arial" w:hAnsi="Arial"/>
                <w:sz w:val="16"/>
              </w:rPr>
              <w:t>22 April 2009</w:t>
            </w:r>
          </w:p>
        </w:tc>
        <w:tc>
          <w:tcPr>
            <w:tcW w:type="dxa" w:w="6120"/>
            <w:tcMar>
              <w:top w:w="80" w:type="dxa"/>
              <w:start w:w="90" w:type="dxa"/>
              <w:bottom w:w="80" w:type="dxa"/>
              <w:end w:w="90" w:type="dxa"/>
            </w:tcMar>
            <w:vAlign w:val="top"/>
          </w:tcPr>
          <w:p>
            <w:pPr>
              <w:spacing w:after="0" w:line="240" w:lineRule="auto"/>
            </w:pPr>
            <w:r>
              <w:rPr>
                <w:rFonts w:ascii="Arial" w:hAnsi="Arial"/>
                <w:sz w:val="16"/>
              </w:rPr>
              <w:t>An incoming stamp on the page reads “EINGEGANGEN 22. April 2009.”</w:t>
            </w:r>
          </w:p>
        </w:tc>
        <w:tc>
          <w:tcPr>
            <w:tcW w:type="dxa" w:w="1944"/>
            <w:tcMar>
              <w:top w:w="80" w:type="dxa"/>
              <w:start w:w="90" w:type="dxa"/>
              <w:bottom w:w="80" w:type="dxa"/>
              <w:end w:w="90" w:type="dxa"/>
            </w:tcMar>
            <w:vAlign w:val="top"/>
          </w:tcPr>
          <w:p>
            <w:pPr>
              <w:spacing w:after="0" w:line="240" w:lineRule="auto"/>
            </w:pPr>
            <w:r>
              <w:rPr>
                <w:rFonts w:ascii="Arial" w:hAnsi="Arial"/>
                <w:sz w:val="16"/>
              </w:rPr>
              <w:t>DOCUMENTARILY VERIFIED</w:t>
            </w:r>
          </w:p>
        </w:tc>
      </w:tr>
      <w:tr>
        <w:trPr>
          <w:cantSplit/>
        </w:trPr>
        <w:tc>
          <w:tcPr>
            <w:tcW w:type="dxa" w:w="1512"/>
            <w:tcMar>
              <w:top w:w="80" w:type="dxa"/>
              <w:start w:w="90" w:type="dxa"/>
              <w:bottom w:w="80" w:type="dxa"/>
              <w:end w:w="90" w:type="dxa"/>
            </w:tcMar>
            <w:vAlign w:val="top"/>
          </w:tcPr>
          <w:p>
            <w:pPr>
              <w:spacing w:after="0" w:line="240" w:lineRule="auto"/>
            </w:pPr>
            <w:r>
              <w:rPr>
                <w:rFonts w:ascii="Arial" w:hAnsi="Arial"/>
                <w:sz w:val="16"/>
              </w:rPr>
              <w:t>22 April-15 May 2009</w:t>
            </w:r>
          </w:p>
        </w:tc>
        <w:tc>
          <w:tcPr>
            <w:tcW w:type="dxa" w:w="6120"/>
            <w:tcMar>
              <w:top w:w="80" w:type="dxa"/>
              <w:start w:w="90" w:type="dxa"/>
              <w:bottom w:w="80" w:type="dxa"/>
              <w:end w:w="90" w:type="dxa"/>
            </w:tcMar>
            <w:vAlign w:val="top"/>
          </w:tcPr>
          <w:p>
            <w:pPr>
              <w:spacing w:after="0" w:line="240" w:lineRule="auto"/>
            </w:pPr>
            <w:r>
              <w:rPr>
                <w:rFonts w:ascii="Arial" w:hAnsi="Arial"/>
                <w:sz w:val="16"/>
              </w:rPr>
              <w:t>Twenty-three calendar days remained between documented institutional receipt and the suicide date stated in the letter.</w:t>
            </w:r>
          </w:p>
        </w:tc>
        <w:tc>
          <w:tcPr>
            <w:tcW w:type="dxa" w:w="1944"/>
            <w:tcMar>
              <w:top w:w="80" w:type="dxa"/>
              <w:start w:w="90" w:type="dxa"/>
              <w:bottom w:w="80" w:type="dxa"/>
              <w:end w:w="90" w:type="dxa"/>
            </w:tcMar>
            <w:vAlign w:val="top"/>
          </w:tcPr>
          <w:p>
            <w:pPr>
              <w:spacing w:after="0" w:line="240" w:lineRule="auto"/>
            </w:pPr>
            <w:r>
              <w:rPr>
                <w:rFonts w:ascii="Arial" w:hAnsi="Arial"/>
                <w:sz w:val="16"/>
              </w:rPr>
              <w:t>DOCUMENTARILY VERIFIED calculation</w:t>
            </w:r>
          </w:p>
        </w:tc>
      </w:tr>
    </w:tbl>
    <w:p>
      <w:pPr>
        <w:spacing w:after="40"/>
      </w:pPr>
    </w:p>
    <w:p>
      <w:pPr>
        <w:pStyle w:val="Heading1"/>
        <w:keepNext/>
        <w:spacing w:before="200" w:after="80"/>
      </w:pPr>
      <w:r>
        <w:t>4. Documentarily Verified Identification Data</w:t>
      </w:r>
    </w:p>
    <w:tbl>
      <w:tblPr>
        <w:tblW w:type="auto" w:w="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4876"/>
        <w:gridCol w:w="4876"/>
      </w:tblGrid>
      <w:tr>
        <w:trPr>
          <w:tblHeader w:val="true"/>
          <w:cantSplit/>
        </w:trPr>
        <w:tc>
          <w:tcPr>
            <w:tcW w:type="dxa" w:w="2664"/>
            <w:shd w:fill="17365D"/>
            <w:tcMar>
              <w:top w:w="80" w:type="dxa"/>
              <w:start w:w="90" w:type="dxa"/>
              <w:bottom w:w="80" w:type="dxa"/>
              <w:end w:w="90" w:type="dxa"/>
            </w:tcMar>
            <w:vAlign w:val="center"/>
          </w:tcPr>
          <w:p>
            <w:pPr>
              <w:spacing w:after="0"/>
              <w:jc w:val="left"/>
            </w:pPr>
            <w:r>
              <w:rPr>
                <w:rFonts w:ascii="Arial" w:hAnsi="Arial"/>
                <w:b/>
                <w:color w:val="FFFFFF"/>
                <w:sz w:val="17"/>
              </w:rPr>
              <w:t>Field</w:t>
            </w:r>
          </w:p>
        </w:tc>
        <w:tc>
          <w:tcPr>
            <w:tcW w:type="dxa" w:w="6912"/>
            <w:shd w:fill="17365D"/>
            <w:tcMar>
              <w:top w:w="80" w:type="dxa"/>
              <w:start w:w="90" w:type="dxa"/>
              <w:bottom w:w="80" w:type="dxa"/>
              <w:end w:w="90" w:type="dxa"/>
            </w:tcMar>
            <w:vAlign w:val="center"/>
          </w:tcPr>
          <w:p>
            <w:pPr>
              <w:spacing w:after="0"/>
              <w:jc w:val="left"/>
            </w:pPr>
            <w:r>
              <w:rPr>
                <w:rFonts w:ascii="Arial" w:hAnsi="Arial"/>
                <w:b/>
                <w:color w:val="FFFFFF"/>
                <w:sz w:val="17"/>
              </w:rPr>
              <w:t>Documentarily verified entry</w:t>
            </w:r>
          </w:p>
        </w:tc>
      </w:tr>
      <w:tr>
        <w:trPr>
          <w:cantSplit/>
        </w:trPr>
        <w:tc>
          <w:tcPr>
            <w:tcW w:type="dxa" w:w="2664"/>
            <w:tcMar>
              <w:top w:w="80" w:type="dxa"/>
              <w:start w:w="90" w:type="dxa"/>
              <w:bottom w:w="80" w:type="dxa"/>
              <w:end w:w="90" w:type="dxa"/>
            </w:tcMar>
            <w:vAlign w:val="top"/>
          </w:tcPr>
          <w:p>
            <w:pPr>
              <w:spacing w:after="0" w:line="240" w:lineRule="auto"/>
            </w:pPr>
            <w:r>
              <w:rPr>
                <w:rFonts w:ascii="Arial" w:hAnsi="Arial"/>
                <w:sz w:val="17"/>
              </w:rPr>
              <w:t>Sender / signatory</w:t>
            </w:r>
          </w:p>
        </w:tc>
        <w:tc>
          <w:tcPr>
            <w:tcW w:type="dxa" w:w="6912"/>
            <w:tcMar>
              <w:top w:w="80" w:type="dxa"/>
              <w:start w:w="90" w:type="dxa"/>
              <w:bottom w:w="80" w:type="dxa"/>
              <w:end w:w="90" w:type="dxa"/>
            </w:tcMar>
            <w:vAlign w:val="top"/>
          </w:tcPr>
          <w:p>
            <w:pPr>
              <w:spacing w:after="0" w:line="240" w:lineRule="auto"/>
            </w:pPr>
            <w:r>
              <w:rPr>
                <w:rFonts w:ascii="Arial" w:hAnsi="Arial"/>
                <w:sz w:val="17"/>
              </w:rPr>
              <w:t>Ismail Rustem; signed at the bottom of the page.</w:t>
            </w:r>
          </w:p>
        </w:tc>
      </w:tr>
      <w:tr>
        <w:trPr>
          <w:cantSplit/>
        </w:trPr>
        <w:tc>
          <w:tcPr>
            <w:tcW w:type="dxa" w:w="2664"/>
            <w:tcMar>
              <w:top w:w="80" w:type="dxa"/>
              <w:start w:w="90" w:type="dxa"/>
              <w:bottom w:w="80" w:type="dxa"/>
              <w:end w:w="90" w:type="dxa"/>
            </w:tcMar>
            <w:vAlign w:val="top"/>
          </w:tcPr>
          <w:p>
            <w:pPr>
              <w:spacing w:after="0" w:line="240" w:lineRule="auto"/>
            </w:pPr>
            <w:r>
              <w:rPr>
                <w:rFonts w:ascii="Arial" w:hAnsi="Arial"/>
                <w:sz w:val="17"/>
              </w:rPr>
              <w:t>Sender address</w:t>
            </w:r>
          </w:p>
        </w:tc>
        <w:tc>
          <w:tcPr>
            <w:tcW w:type="dxa" w:w="6912"/>
            <w:tcMar>
              <w:top w:w="80" w:type="dxa"/>
              <w:start w:w="90" w:type="dxa"/>
              <w:bottom w:w="80" w:type="dxa"/>
              <w:end w:w="90" w:type="dxa"/>
            </w:tcMar>
            <w:vAlign w:val="top"/>
          </w:tcPr>
          <w:p>
            <w:pPr>
              <w:spacing w:after="0" w:line="240" w:lineRule="auto"/>
            </w:pPr>
            <w:r>
              <w:rPr>
                <w:rFonts w:ascii="Arial" w:hAnsi="Arial"/>
                <w:sz w:val="17"/>
              </w:rPr>
              <w:t>Wichmannstr. 9, 10787 Berlin.</w:t>
            </w:r>
          </w:p>
        </w:tc>
      </w:tr>
      <w:tr>
        <w:trPr>
          <w:cantSplit/>
        </w:trPr>
        <w:tc>
          <w:tcPr>
            <w:tcW w:type="dxa" w:w="2664"/>
            <w:tcMar>
              <w:top w:w="80" w:type="dxa"/>
              <w:start w:w="90" w:type="dxa"/>
              <w:bottom w:w="80" w:type="dxa"/>
              <w:end w:w="90" w:type="dxa"/>
            </w:tcMar>
            <w:vAlign w:val="top"/>
          </w:tcPr>
          <w:p>
            <w:pPr>
              <w:spacing w:after="0" w:line="240" w:lineRule="auto"/>
            </w:pPr>
            <w:r>
              <w:rPr>
                <w:rFonts w:ascii="Arial" w:hAnsi="Arial"/>
                <w:sz w:val="17"/>
              </w:rPr>
              <w:t>Recipient</w:t>
            </w:r>
          </w:p>
        </w:tc>
        <w:tc>
          <w:tcPr>
            <w:tcW w:type="dxa" w:w="6912"/>
            <w:tcMar>
              <w:top w:w="80" w:type="dxa"/>
              <w:start w:w="90" w:type="dxa"/>
              <w:bottom w:w="80" w:type="dxa"/>
              <w:end w:w="90" w:type="dxa"/>
            </w:tcMar>
            <w:vAlign w:val="top"/>
          </w:tcPr>
          <w:p>
            <w:pPr>
              <w:spacing w:after="0" w:line="240" w:lineRule="auto"/>
            </w:pPr>
            <w:r>
              <w:rPr>
                <w:rFonts w:ascii="Arial" w:hAnsi="Arial"/>
                <w:sz w:val="17"/>
              </w:rPr>
              <w:t>Raphaels-Werk.</w:t>
            </w:r>
          </w:p>
        </w:tc>
      </w:tr>
      <w:tr>
        <w:trPr>
          <w:cantSplit/>
        </w:trPr>
        <w:tc>
          <w:tcPr>
            <w:tcW w:type="dxa" w:w="2664"/>
            <w:tcMar>
              <w:top w:w="80" w:type="dxa"/>
              <w:start w:w="90" w:type="dxa"/>
              <w:bottom w:w="80" w:type="dxa"/>
              <w:end w:w="90" w:type="dxa"/>
            </w:tcMar>
            <w:vAlign w:val="top"/>
          </w:tcPr>
          <w:p>
            <w:pPr>
              <w:spacing w:after="0" w:line="240" w:lineRule="auto"/>
            </w:pPr>
            <w:r>
              <w:rPr>
                <w:rFonts w:ascii="Arial" w:hAnsi="Arial"/>
                <w:sz w:val="17"/>
              </w:rPr>
              <w:t>Recipient address</w:t>
            </w:r>
          </w:p>
        </w:tc>
        <w:tc>
          <w:tcPr>
            <w:tcW w:type="dxa" w:w="6912"/>
            <w:tcMar>
              <w:top w:w="80" w:type="dxa"/>
              <w:start w:w="90" w:type="dxa"/>
              <w:bottom w:w="80" w:type="dxa"/>
              <w:end w:w="90" w:type="dxa"/>
            </w:tcMar>
            <w:vAlign w:val="top"/>
          </w:tcPr>
          <w:p>
            <w:pPr>
              <w:spacing w:after="0" w:line="240" w:lineRule="auto"/>
            </w:pPr>
            <w:r>
              <w:rPr>
                <w:rFonts w:ascii="Arial" w:hAnsi="Arial"/>
                <w:sz w:val="17"/>
              </w:rPr>
              <w:t>Residenzstr. 90, 13409 Berlin.</w:t>
            </w:r>
          </w:p>
        </w:tc>
      </w:tr>
      <w:tr>
        <w:trPr>
          <w:cantSplit/>
        </w:trPr>
        <w:tc>
          <w:tcPr>
            <w:tcW w:type="dxa" w:w="2664"/>
            <w:tcMar>
              <w:top w:w="80" w:type="dxa"/>
              <w:start w:w="90" w:type="dxa"/>
              <w:bottom w:w="80" w:type="dxa"/>
              <w:end w:w="90" w:type="dxa"/>
            </w:tcMar>
            <w:vAlign w:val="top"/>
          </w:tcPr>
          <w:p>
            <w:pPr>
              <w:spacing w:after="0" w:line="240" w:lineRule="auto"/>
            </w:pPr>
            <w:r>
              <w:rPr>
                <w:rFonts w:ascii="Arial" w:hAnsi="Arial"/>
                <w:sz w:val="17"/>
              </w:rPr>
              <w:t>Telephone shown</w:t>
            </w:r>
          </w:p>
        </w:tc>
        <w:tc>
          <w:tcPr>
            <w:tcW w:type="dxa" w:w="6912"/>
            <w:tcMar>
              <w:top w:w="80" w:type="dxa"/>
              <w:start w:w="90" w:type="dxa"/>
              <w:bottom w:w="80" w:type="dxa"/>
              <w:end w:w="90" w:type="dxa"/>
            </w:tcMar>
            <w:vAlign w:val="top"/>
          </w:tcPr>
          <w:p>
            <w:pPr>
              <w:spacing w:after="0" w:line="240" w:lineRule="auto"/>
            </w:pPr>
            <w:r>
              <w:rPr>
                <w:rFonts w:ascii="Arial" w:hAnsi="Arial"/>
                <w:sz w:val="17"/>
              </w:rPr>
              <w:t>030/66633-1147.</w:t>
            </w:r>
          </w:p>
        </w:tc>
      </w:tr>
      <w:tr>
        <w:trPr>
          <w:cantSplit/>
        </w:trPr>
        <w:tc>
          <w:tcPr>
            <w:tcW w:type="dxa" w:w="2664"/>
            <w:tcMar>
              <w:top w:w="80" w:type="dxa"/>
              <w:start w:w="90" w:type="dxa"/>
              <w:bottom w:w="80" w:type="dxa"/>
              <w:end w:w="90" w:type="dxa"/>
            </w:tcMar>
            <w:vAlign w:val="top"/>
          </w:tcPr>
          <w:p>
            <w:pPr>
              <w:spacing w:after="0" w:line="240" w:lineRule="auto"/>
            </w:pPr>
            <w:r>
              <w:rPr>
                <w:rFonts w:ascii="Arial" w:hAnsi="Arial"/>
                <w:sz w:val="17"/>
              </w:rPr>
              <w:t>Fax shown</w:t>
            </w:r>
          </w:p>
        </w:tc>
        <w:tc>
          <w:tcPr>
            <w:tcW w:type="dxa" w:w="6912"/>
            <w:tcMar>
              <w:top w:w="80" w:type="dxa"/>
              <w:start w:w="90" w:type="dxa"/>
              <w:bottom w:w="80" w:type="dxa"/>
              <w:end w:w="90" w:type="dxa"/>
            </w:tcMar>
            <w:vAlign w:val="top"/>
          </w:tcPr>
          <w:p>
            <w:pPr>
              <w:spacing w:after="0" w:line="240" w:lineRule="auto"/>
            </w:pPr>
            <w:r>
              <w:rPr>
                <w:rFonts w:ascii="Arial" w:hAnsi="Arial"/>
                <w:sz w:val="17"/>
              </w:rPr>
              <w:t>030/66633-1279.</w:t>
            </w:r>
          </w:p>
        </w:tc>
      </w:tr>
      <w:tr>
        <w:trPr>
          <w:cantSplit/>
        </w:trPr>
        <w:tc>
          <w:tcPr>
            <w:tcW w:type="dxa" w:w="2664"/>
            <w:tcMar>
              <w:top w:w="80" w:type="dxa"/>
              <w:start w:w="90" w:type="dxa"/>
              <w:bottom w:w="80" w:type="dxa"/>
              <w:end w:w="90" w:type="dxa"/>
            </w:tcMar>
            <w:vAlign w:val="top"/>
          </w:tcPr>
          <w:p>
            <w:pPr>
              <w:spacing w:after="0" w:line="240" w:lineRule="auto"/>
            </w:pPr>
            <w:r>
              <w:rPr>
                <w:rFonts w:ascii="Arial" w:hAnsi="Arial"/>
                <w:sz w:val="17"/>
              </w:rPr>
              <w:t>Letter date</w:t>
            </w:r>
          </w:p>
        </w:tc>
        <w:tc>
          <w:tcPr>
            <w:tcW w:type="dxa" w:w="6912"/>
            <w:tcMar>
              <w:top w:w="80" w:type="dxa"/>
              <w:start w:w="90" w:type="dxa"/>
              <w:bottom w:w="80" w:type="dxa"/>
              <w:end w:w="90" w:type="dxa"/>
            </w:tcMar>
            <w:vAlign w:val="top"/>
          </w:tcPr>
          <w:p>
            <w:pPr>
              <w:spacing w:after="0" w:line="240" w:lineRule="auto"/>
            </w:pPr>
            <w:r>
              <w:rPr>
                <w:rFonts w:ascii="Arial" w:hAnsi="Arial"/>
                <w:sz w:val="17"/>
              </w:rPr>
              <w:t>Berlin, 15 Apr. 2009.</w:t>
            </w:r>
          </w:p>
        </w:tc>
      </w:tr>
      <w:tr>
        <w:trPr>
          <w:cantSplit/>
        </w:trPr>
        <w:tc>
          <w:tcPr>
            <w:tcW w:type="dxa" w:w="2664"/>
            <w:tcMar>
              <w:top w:w="80" w:type="dxa"/>
              <w:start w:w="90" w:type="dxa"/>
              <w:bottom w:w="80" w:type="dxa"/>
              <w:end w:w="90" w:type="dxa"/>
            </w:tcMar>
            <w:vAlign w:val="top"/>
          </w:tcPr>
          <w:p>
            <w:pPr>
              <w:spacing w:after="0" w:line="240" w:lineRule="auto"/>
            </w:pPr>
            <w:r>
              <w:rPr>
                <w:rFonts w:ascii="Arial" w:hAnsi="Arial"/>
                <w:sz w:val="17"/>
              </w:rPr>
              <w:t>Receipt stamp</w:t>
            </w:r>
          </w:p>
        </w:tc>
        <w:tc>
          <w:tcPr>
            <w:tcW w:type="dxa" w:w="6912"/>
            <w:tcMar>
              <w:top w:w="80" w:type="dxa"/>
              <w:start w:w="90" w:type="dxa"/>
              <w:bottom w:w="80" w:type="dxa"/>
              <w:end w:w="90" w:type="dxa"/>
            </w:tcMar>
            <w:vAlign w:val="top"/>
          </w:tcPr>
          <w:p>
            <w:pPr>
              <w:spacing w:after="0" w:line="240" w:lineRule="auto"/>
            </w:pPr>
            <w:r>
              <w:rPr>
                <w:rFonts w:ascii="Arial" w:hAnsi="Arial"/>
                <w:sz w:val="17"/>
              </w:rPr>
              <w:t>“EINGEGANGEN 22. April 2009.”</w:t>
            </w:r>
          </w:p>
        </w:tc>
      </w:tr>
      <w:tr>
        <w:trPr>
          <w:cantSplit/>
        </w:trPr>
        <w:tc>
          <w:tcPr>
            <w:tcW w:type="dxa" w:w="2664"/>
            <w:tcMar>
              <w:top w:w="80" w:type="dxa"/>
              <w:start w:w="90" w:type="dxa"/>
              <w:bottom w:w="80" w:type="dxa"/>
              <w:end w:w="90" w:type="dxa"/>
            </w:tcMar>
            <w:vAlign w:val="top"/>
          </w:tcPr>
          <w:p>
            <w:pPr>
              <w:spacing w:after="0" w:line="240" w:lineRule="auto"/>
            </w:pPr>
            <w:r>
              <w:rPr>
                <w:rFonts w:ascii="Arial" w:hAnsi="Arial"/>
                <w:sz w:val="17"/>
              </w:rPr>
              <w:t>Completion field on stamp</w:t>
            </w:r>
          </w:p>
        </w:tc>
        <w:tc>
          <w:tcPr>
            <w:tcW w:type="dxa" w:w="6912"/>
            <w:tcMar>
              <w:top w:w="80" w:type="dxa"/>
              <w:start w:w="90" w:type="dxa"/>
              <w:bottom w:w="80" w:type="dxa"/>
              <w:end w:w="90" w:type="dxa"/>
            </w:tcMar>
            <w:vAlign w:val="top"/>
          </w:tcPr>
          <w:p>
            <w:pPr>
              <w:spacing w:after="0" w:line="240" w:lineRule="auto"/>
            </w:pPr>
            <w:r>
              <w:rPr>
                <w:rFonts w:ascii="Arial" w:hAnsi="Arial"/>
                <w:sz w:val="17"/>
              </w:rPr>
              <w:t>The stamp contains a printed “Erled.” field; no legible completion date, staff name or initials are entered on the uploaded page.</w:t>
            </w:r>
          </w:p>
        </w:tc>
      </w:tr>
      <w:tr>
        <w:trPr>
          <w:cantSplit/>
        </w:trPr>
        <w:tc>
          <w:tcPr>
            <w:tcW w:type="dxa" w:w="2664"/>
            <w:tcMar>
              <w:top w:w="80" w:type="dxa"/>
              <w:start w:w="90" w:type="dxa"/>
              <w:bottom w:w="80" w:type="dxa"/>
              <w:end w:w="90" w:type="dxa"/>
            </w:tcMar>
            <w:vAlign w:val="top"/>
          </w:tcPr>
          <w:p>
            <w:pPr>
              <w:spacing w:after="0" w:line="240" w:lineRule="auto"/>
            </w:pPr>
            <w:r>
              <w:rPr>
                <w:rFonts w:ascii="Arial" w:hAnsi="Arial"/>
                <w:sz w:val="17"/>
              </w:rPr>
              <w:t>Header references</w:t>
            </w:r>
          </w:p>
        </w:tc>
        <w:tc>
          <w:tcPr>
            <w:tcW w:type="dxa" w:w="6912"/>
            <w:tcMar>
              <w:top w:w="80" w:type="dxa"/>
              <w:start w:w="90" w:type="dxa"/>
              <w:bottom w:w="80" w:type="dxa"/>
              <w:end w:w="90" w:type="dxa"/>
            </w:tcMar>
            <w:vAlign w:val="top"/>
          </w:tcPr>
          <w:p>
            <w:pPr>
              <w:spacing w:after="0" w:line="240" w:lineRule="auto"/>
            </w:pPr>
            <w:r>
              <w:rPr>
                <w:rFonts w:ascii="Arial" w:hAnsi="Arial"/>
                <w:sz w:val="17"/>
              </w:rPr>
              <w:t>www.youtube.com and the labels “Rustem Azeri 61, 62, 63, 64, 65.” The contents of those referenced videos are not contained in D1.</w:t>
            </w:r>
          </w:p>
        </w:tc>
      </w:tr>
      <w:tr>
        <w:trPr>
          <w:cantSplit/>
        </w:trPr>
        <w:tc>
          <w:tcPr>
            <w:tcW w:type="dxa" w:w="2664"/>
            <w:tcMar>
              <w:top w:w="80" w:type="dxa"/>
              <w:start w:w="90" w:type="dxa"/>
              <w:bottom w:w="80" w:type="dxa"/>
              <w:end w:w="90" w:type="dxa"/>
            </w:tcMar>
            <w:vAlign w:val="top"/>
          </w:tcPr>
          <w:p>
            <w:pPr>
              <w:spacing w:after="0" w:line="240" w:lineRule="auto"/>
            </w:pPr>
            <w:r>
              <w:rPr>
                <w:rFonts w:ascii="Arial" w:hAnsi="Arial"/>
                <w:sz w:val="17"/>
              </w:rPr>
              <w:t>Case / file / registration number</w:t>
            </w:r>
          </w:p>
        </w:tc>
        <w:tc>
          <w:tcPr>
            <w:tcW w:type="dxa" w:w="6912"/>
            <w:tcMar>
              <w:top w:w="80" w:type="dxa"/>
              <w:start w:w="90" w:type="dxa"/>
              <w:bottom w:w="80" w:type="dxa"/>
              <w:end w:w="90" w:type="dxa"/>
            </w:tcMar>
            <w:vAlign w:val="top"/>
          </w:tcPr>
          <w:p>
            <w:pPr>
              <w:spacing w:after="0" w:line="240" w:lineRule="auto"/>
            </w:pPr>
            <w:r>
              <w:rPr>
                <w:rFonts w:ascii="Arial" w:hAnsi="Arial"/>
                <w:sz w:val="17"/>
              </w:rPr>
              <w:t>None visible.</w:t>
            </w:r>
          </w:p>
        </w:tc>
      </w:tr>
      <w:tr>
        <w:trPr>
          <w:cantSplit/>
        </w:trPr>
        <w:tc>
          <w:tcPr>
            <w:tcW w:type="dxa" w:w="2664"/>
            <w:tcMar>
              <w:top w:w="80" w:type="dxa"/>
              <w:start w:w="90" w:type="dxa"/>
              <w:bottom w:w="80" w:type="dxa"/>
              <w:end w:w="90" w:type="dxa"/>
            </w:tcMar>
            <w:vAlign w:val="top"/>
          </w:tcPr>
          <w:p>
            <w:pPr>
              <w:spacing w:after="0" w:line="240" w:lineRule="auto"/>
            </w:pPr>
            <w:r>
              <w:rPr>
                <w:rFonts w:ascii="Arial" w:hAnsi="Arial"/>
                <w:sz w:val="17"/>
              </w:rPr>
              <w:t>Postal tracking number / envelope</w:t>
            </w:r>
          </w:p>
        </w:tc>
        <w:tc>
          <w:tcPr>
            <w:tcW w:type="dxa" w:w="6912"/>
            <w:tcMar>
              <w:top w:w="80" w:type="dxa"/>
              <w:start w:w="90" w:type="dxa"/>
              <w:bottom w:w="80" w:type="dxa"/>
              <w:end w:w="90" w:type="dxa"/>
            </w:tcMar>
            <w:vAlign w:val="top"/>
          </w:tcPr>
          <w:p>
            <w:pPr>
              <w:spacing w:after="0" w:line="240" w:lineRule="auto"/>
            </w:pPr>
            <w:r>
              <w:rPr>
                <w:rFonts w:ascii="Arial" w:hAnsi="Arial"/>
                <w:sz w:val="17"/>
              </w:rPr>
              <w:t>None visible; no envelope is included.</w:t>
            </w:r>
          </w:p>
        </w:tc>
      </w:tr>
    </w:tbl>
    <w:p>
      <w:pPr>
        <w:spacing w:after="40"/>
      </w:pPr>
    </w:p>
    <w:p>
      <w:r>
        <w:br w:type="page"/>
      </w:r>
    </w:p>
    <w:p>
      <w:pPr>
        <w:pStyle w:val="Heading1"/>
        <w:keepNext/>
        <w:spacing w:before="200" w:after="80"/>
      </w:pPr>
      <w:r>
        <w:t>5. Specificity and Gravity of the Notice</w:t>
      </w:r>
    </w:p>
    <w:p>
      <w:pPr>
        <w:spacing w:after="100" w:line="259" w:lineRule="auto"/>
      </w:pPr>
      <w:r>
        <w:rPr>
          <w:rFonts w:ascii="Arial" w:hAnsi="Arial"/>
          <w:i w:val="0"/>
          <w:sz w:val="20"/>
        </w:rPr>
        <w:t>The warning was not vague, retrospective or conditional. The document identified a specific future date - 15 May 2009 - and expressly stated that the applicant’s time was limited. The source also linked the threatened suicide to asserted denial of rights, political problems, lack of effective examination and alleged failures of the German justice and psychiatric systems. These causal allegations are recorded allegations; the existence and wording of the warning are proven by D1.</w:t>
      </w:r>
    </w:p>
    <w:p>
      <w:pPr>
        <w:spacing w:after="100" w:line="259" w:lineRule="auto"/>
      </w:pPr>
      <w:r>
        <w:rPr>
          <w:rFonts w:ascii="Arial" w:hAnsi="Arial"/>
          <w:i w:val="0"/>
          <w:sz w:val="20"/>
        </w:rPr>
        <w:t>The request was also specific. The applicant asked for:</w:t>
      </w:r>
    </w:p>
    <w:p>
      <w:pPr>
        <w:pStyle w:val="ListBullet"/>
        <w:spacing w:after="40" w:line="252" w:lineRule="auto"/>
      </w:pPr>
      <w:r>
        <w:rPr>
          <w:rFonts w:ascii="Arial" w:hAnsi="Arial"/>
          <w:sz w:val="19"/>
        </w:rPr>
        <w:t>examination by experts of a neutral nation;</w:t>
      </w:r>
    </w:p>
    <w:p>
      <w:pPr>
        <w:pStyle w:val="ListBullet"/>
        <w:spacing w:after="40" w:line="252" w:lineRule="auto"/>
      </w:pPr>
      <w:r>
        <w:rPr>
          <w:rFonts w:ascii="Arial" w:hAnsi="Arial"/>
          <w:sz w:val="19"/>
        </w:rPr>
        <w:t>an independent health assessment;</w:t>
      </w:r>
    </w:p>
    <w:p>
      <w:pPr>
        <w:pStyle w:val="ListBullet"/>
        <w:spacing w:after="40" w:line="252" w:lineRule="auto"/>
      </w:pPr>
      <w:r>
        <w:rPr>
          <w:rFonts w:ascii="Arial" w:hAnsi="Arial"/>
          <w:sz w:val="19"/>
        </w:rPr>
        <w:t>transfer or assistance to reach another democratic European country, naming Switzerland as an example;</w:t>
      </w:r>
    </w:p>
    <w:p>
      <w:pPr>
        <w:pStyle w:val="ListBullet"/>
        <w:spacing w:after="40" w:line="252" w:lineRule="auto"/>
      </w:pPr>
      <w:r>
        <w:rPr>
          <w:rFonts w:ascii="Arial" w:hAnsi="Arial"/>
          <w:sz w:val="19"/>
        </w:rPr>
        <w:t>recognition that he had asked Raphaels-Werk for help before the stated suicide date; and</w:t>
      </w:r>
    </w:p>
    <w:p>
      <w:pPr>
        <w:pStyle w:val="ListBullet"/>
        <w:spacing w:after="40" w:line="252" w:lineRule="auto"/>
      </w:pPr>
      <w:r>
        <w:rPr>
          <w:rFonts w:ascii="Arial" w:hAnsi="Arial"/>
          <w:sz w:val="19"/>
        </w:rPr>
        <w:t>consideration of documentary and video evidence identified as four CDs.</w:t>
      </w:r>
    </w:p>
    <w:tbl>
      <w:tblPr>
        <w:tblW w:type="auto" w:w="0"/>
        <w:jc w:val="center"/>
        <w:tblLayout w:type="fixed"/>
        <w:tblLook w:firstColumn="1" w:firstRow="1" w:lastColumn="0" w:lastRow="0" w:noHBand="0" w:noVBand="1" w:val="04A0"/>
        <w:tblBorders>
          <w:top w:val="single" w:sz="2" w:space="0" w:color="E2F0D9"/>
          <w:left w:val="single" w:sz="2" w:space="0" w:color="E2F0D9"/>
          <w:bottom w:val="single" w:sz="2" w:space="0" w:color="E2F0D9"/>
          <w:right w:val="single" w:sz="2" w:space="0" w:color="E2F0D9"/>
          <w:insideH w:val="single" w:sz="2" w:space="0" w:color="E2F0D9"/>
          <w:insideV w:val="single" w:sz="2" w:space="0" w:color="E2F0D9"/>
        </w:tblBorders>
      </w:tblPr>
      <w:tblGrid>
        <w:gridCol w:w="9648"/>
      </w:tblGrid>
      <w:tr>
        <w:tc>
          <w:tcPr>
            <w:tcW w:type="dxa" w:w="9752"/>
            <w:shd w:fill="E2F0D9"/>
            <w:tcMar>
              <w:top w:w="80" w:type="dxa"/>
              <w:start w:w="120" w:type="dxa"/>
              <w:bottom w:w="80" w:type="dxa"/>
              <w:end w:w="120" w:type="dxa"/>
            </w:tcMar>
          </w:tcPr>
          <w:p>
            <w:pPr>
              <w:spacing w:after="0" w:line="252" w:lineRule="auto"/>
            </w:pPr>
            <w:r>
              <w:rPr>
                <w:rFonts w:ascii="Arial" w:hAnsi="Arial"/>
                <w:b/>
                <w:color w:val="17365D"/>
                <w:sz w:val="19"/>
              </w:rPr>
              <w:t xml:space="preserve">DOCUMENTARILY VERIFIED: </w:t>
            </w:r>
            <w:r>
              <w:rPr>
                <w:rFonts w:ascii="Arial" w:hAnsi="Arial"/>
                <w:color w:val="000000"/>
                <w:sz w:val="19"/>
              </w:rPr>
              <w:t>The combination of a named person, an identified recipient, a fixed future date, asserted severe illnesses, an explicit request for help, and an incoming stamp establishes a concrete institutional notice event. It is not merely evidence that the recipient “should have known”; it is evidence that the written warning reached the recipient institution.</w:t>
            </w:r>
          </w:p>
        </w:tc>
      </w:tr>
    </w:tbl>
    <w:p>
      <w:pPr>
        <w:spacing w:after="80" w:before="0"/>
      </w:pPr>
    </w:p>
    <w:p>
      <w:pPr>
        <w:pStyle w:val="Heading1"/>
        <w:keepNext/>
        <w:spacing w:before="200" w:after="80"/>
      </w:pPr>
      <w:r>
        <w:t>6. Medical Statements Contained in the Letter</w:t>
      </w:r>
    </w:p>
    <w:p>
      <w:pPr>
        <w:spacing w:after="100" w:line="259" w:lineRule="auto"/>
      </w:pPr>
      <w:r>
        <w:rPr>
          <w:rFonts w:ascii="Arial" w:hAnsi="Arial"/>
          <w:i w:val="0"/>
          <w:sz w:val="20"/>
        </w:rPr>
        <w:t>D1 is not a doctor-issued medical record. It is a signed applicant letter. The following entries are therefore documentarily verified as statements made in the letter, not as independently verified diagnoses.</w:t>
      </w:r>
    </w:p>
    <w:tbl>
      <w:tblPr>
        <w:tblW w:type="auto" w:w="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3251"/>
        <w:gridCol w:w="3251"/>
        <w:gridCol w:w="3251"/>
      </w:tblGrid>
      <w:tr>
        <w:trPr>
          <w:tblHeader w:val="true"/>
          <w:cantSplit/>
        </w:trPr>
        <w:tc>
          <w:tcPr>
            <w:tcW w:type="dxa" w:w="648"/>
            <w:shd w:fill="17365D"/>
            <w:tcMar>
              <w:top w:w="80" w:type="dxa"/>
              <w:start w:w="90" w:type="dxa"/>
              <w:bottom w:w="80" w:type="dxa"/>
              <w:end w:w="90" w:type="dxa"/>
            </w:tcMar>
            <w:vAlign w:val="center"/>
          </w:tcPr>
          <w:p>
            <w:pPr>
              <w:spacing w:after="0"/>
              <w:jc w:val="left"/>
            </w:pPr>
            <w:r>
              <w:rPr>
                <w:rFonts w:ascii="Arial" w:hAnsi="Arial"/>
                <w:b/>
                <w:color w:val="FFFFFF"/>
                <w:sz w:val="17"/>
              </w:rPr>
              <w:t>No.</w:t>
            </w:r>
          </w:p>
        </w:tc>
        <w:tc>
          <w:tcPr>
            <w:tcW w:type="dxa" w:w="4320"/>
            <w:shd w:fill="17365D"/>
            <w:tcMar>
              <w:top w:w="80" w:type="dxa"/>
              <w:start w:w="90" w:type="dxa"/>
              <w:bottom w:w="80" w:type="dxa"/>
              <w:end w:w="90" w:type="dxa"/>
            </w:tcMar>
            <w:vAlign w:val="center"/>
          </w:tcPr>
          <w:p>
            <w:pPr>
              <w:spacing w:after="0"/>
              <w:jc w:val="left"/>
            </w:pPr>
            <w:r>
              <w:rPr>
                <w:rFonts w:ascii="Arial" w:hAnsi="Arial"/>
                <w:b/>
                <w:color w:val="FFFFFF"/>
                <w:sz w:val="17"/>
              </w:rPr>
              <w:t>German wording in D1</w:t>
            </w:r>
          </w:p>
        </w:tc>
        <w:tc>
          <w:tcPr>
            <w:tcW w:type="dxa" w:w="4536"/>
            <w:shd w:fill="17365D"/>
            <w:tcMar>
              <w:top w:w="80" w:type="dxa"/>
              <w:start w:w="90" w:type="dxa"/>
              <w:bottom w:w="80" w:type="dxa"/>
              <w:end w:w="90" w:type="dxa"/>
            </w:tcMar>
            <w:vAlign w:val="center"/>
          </w:tcPr>
          <w:p>
            <w:pPr>
              <w:spacing w:after="0"/>
              <w:jc w:val="left"/>
            </w:pPr>
            <w:r>
              <w:rPr>
                <w:rFonts w:ascii="Arial" w:hAnsi="Arial"/>
                <w:b/>
                <w:color w:val="FFFFFF"/>
                <w:sz w:val="17"/>
              </w:rPr>
              <w:t>Working English rendering</w:t>
            </w:r>
          </w:p>
        </w:tc>
      </w:tr>
      <w:tr>
        <w:trPr>
          <w:cantSplit/>
        </w:trPr>
        <w:tc>
          <w:tcPr>
            <w:tcW w:type="dxa" w:w="648"/>
            <w:tcMar>
              <w:top w:w="80" w:type="dxa"/>
              <w:start w:w="90" w:type="dxa"/>
              <w:bottom w:w="80" w:type="dxa"/>
              <w:end w:w="90" w:type="dxa"/>
            </w:tcMar>
            <w:vAlign w:val="top"/>
          </w:tcPr>
          <w:p>
            <w:pPr>
              <w:spacing w:after="0" w:line="240" w:lineRule="auto"/>
            </w:pPr>
            <w:r>
              <w:rPr>
                <w:rFonts w:ascii="Arial" w:hAnsi="Arial"/>
                <w:sz w:val="16"/>
              </w:rPr>
              <w:t>1</w:t>
            </w:r>
          </w:p>
        </w:tc>
        <w:tc>
          <w:tcPr>
            <w:tcW w:type="dxa" w:w="4320"/>
            <w:tcMar>
              <w:top w:w="80" w:type="dxa"/>
              <w:start w:w="90" w:type="dxa"/>
              <w:bottom w:w="80" w:type="dxa"/>
              <w:end w:w="90" w:type="dxa"/>
            </w:tcMar>
            <w:vAlign w:val="top"/>
          </w:tcPr>
          <w:p>
            <w:pPr>
              <w:spacing w:after="0" w:line="240" w:lineRule="auto"/>
            </w:pPr>
            <w:r>
              <w:rPr>
                <w:rFonts w:ascii="Arial" w:hAnsi="Arial"/>
                <w:sz w:val="16"/>
              </w:rPr>
              <w:t>Z.n. Lungentuberkulose</w:t>
            </w:r>
          </w:p>
        </w:tc>
        <w:tc>
          <w:tcPr>
            <w:tcW w:type="dxa" w:w="4536"/>
            <w:tcMar>
              <w:top w:w="80" w:type="dxa"/>
              <w:start w:w="90" w:type="dxa"/>
              <w:bottom w:w="80" w:type="dxa"/>
              <w:end w:w="90" w:type="dxa"/>
            </w:tcMar>
            <w:vAlign w:val="top"/>
          </w:tcPr>
          <w:p>
            <w:pPr>
              <w:spacing w:after="0" w:line="240" w:lineRule="auto"/>
            </w:pPr>
            <w:r>
              <w:rPr>
                <w:rFonts w:ascii="Arial" w:hAnsi="Arial"/>
                <w:sz w:val="16"/>
              </w:rPr>
              <w:t>Status post pulmonary tuberculosis</w:t>
            </w:r>
          </w:p>
        </w:tc>
      </w:tr>
      <w:tr>
        <w:trPr>
          <w:cantSplit/>
        </w:trPr>
        <w:tc>
          <w:tcPr>
            <w:tcW w:type="dxa" w:w="648"/>
            <w:tcMar>
              <w:top w:w="80" w:type="dxa"/>
              <w:start w:w="90" w:type="dxa"/>
              <w:bottom w:w="80" w:type="dxa"/>
              <w:end w:w="90" w:type="dxa"/>
            </w:tcMar>
            <w:vAlign w:val="top"/>
          </w:tcPr>
          <w:p>
            <w:pPr>
              <w:spacing w:after="0" w:line="240" w:lineRule="auto"/>
            </w:pPr>
            <w:r>
              <w:rPr>
                <w:rFonts w:ascii="Arial" w:hAnsi="Arial"/>
                <w:sz w:val="16"/>
              </w:rPr>
              <w:t>2</w:t>
            </w:r>
          </w:p>
        </w:tc>
        <w:tc>
          <w:tcPr>
            <w:tcW w:type="dxa" w:w="4320"/>
            <w:tcMar>
              <w:top w:w="80" w:type="dxa"/>
              <w:start w:w="90" w:type="dxa"/>
              <w:bottom w:w="80" w:type="dxa"/>
              <w:end w:w="90" w:type="dxa"/>
            </w:tcMar>
            <w:vAlign w:val="top"/>
          </w:tcPr>
          <w:p>
            <w:pPr>
              <w:spacing w:after="0" w:line="240" w:lineRule="auto"/>
            </w:pPr>
            <w:r>
              <w:rPr>
                <w:rFonts w:ascii="Arial" w:hAnsi="Arial"/>
                <w:sz w:val="16"/>
              </w:rPr>
              <w:t>Depressionen</w:t>
            </w:r>
          </w:p>
        </w:tc>
        <w:tc>
          <w:tcPr>
            <w:tcW w:type="dxa" w:w="4536"/>
            <w:tcMar>
              <w:top w:w="80" w:type="dxa"/>
              <w:start w:w="90" w:type="dxa"/>
              <w:bottom w:w="80" w:type="dxa"/>
              <w:end w:w="90" w:type="dxa"/>
            </w:tcMar>
            <w:vAlign w:val="top"/>
          </w:tcPr>
          <w:p>
            <w:pPr>
              <w:spacing w:after="0" w:line="240" w:lineRule="auto"/>
            </w:pPr>
            <w:r>
              <w:rPr>
                <w:rFonts w:ascii="Arial" w:hAnsi="Arial"/>
                <w:sz w:val="16"/>
              </w:rPr>
              <w:t>Depression</w:t>
            </w:r>
          </w:p>
        </w:tc>
      </w:tr>
      <w:tr>
        <w:trPr>
          <w:cantSplit/>
        </w:trPr>
        <w:tc>
          <w:tcPr>
            <w:tcW w:type="dxa" w:w="648"/>
            <w:tcMar>
              <w:top w:w="80" w:type="dxa"/>
              <w:start w:w="90" w:type="dxa"/>
              <w:bottom w:w="80" w:type="dxa"/>
              <w:end w:w="90" w:type="dxa"/>
            </w:tcMar>
            <w:vAlign w:val="top"/>
          </w:tcPr>
          <w:p>
            <w:pPr>
              <w:spacing w:after="0" w:line="240" w:lineRule="auto"/>
            </w:pPr>
            <w:r>
              <w:rPr>
                <w:rFonts w:ascii="Arial" w:hAnsi="Arial"/>
                <w:sz w:val="16"/>
              </w:rPr>
              <w:t>3</w:t>
            </w:r>
          </w:p>
        </w:tc>
        <w:tc>
          <w:tcPr>
            <w:tcW w:type="dxa" w:w="4320"/>
            <w:tcMar>
              <w:top w:w="80" w:type="dxa"/>
              <w:start w:w="90" w:type="dxa"/>
              <w:bottom w:w="80" w:type="dxa"/>
              <w:end w:w="90" w:type="dxa"/>
            </w:tcMar>
            <w:vAlign w:val="top"/>
          </w:tcPr>
          <w:p>
            <w:pPr>
              <w:spacing w:after="0" w:line="240" w:lineRule="auto"/>
            </w:pPr>
            <w:r>
              <w:rPr>
                <w:rFonts w:ascii="Arial" w:hAnsi="Arial"/>
                <w:sz w:val="16"/>
              </w:rPr>
              <w:t>AIDS Infections</w:t>
            </w:r>
          </w:p>
        </w:tc>
        <w:tc>
          <w:tcPr>
            <w:tcW w:type="dxa" w:w="4536"/>
            <w:tcMar>
              <w:top w:w="80" w:type="dxa"/>
              <w:start w:w="90" w:type="dxa"/>
              <w:bottom w:w="80" w:type="dxa"/>
              <w:end w:w="90" w:type="dxa"/>
            </w:tcMar>
            <w:vAlign w:val="top"/>
          </w:tcPr>
          <w:p>
            <w:pPr>
              <w:spacing w:after="0" w:line="240" w:lineRule="auto"/>
            </w:pPr>
            <w:r>
              <w:rPr>
                <w:rFonts w:ascii="Arial" w:hAnsi="Arial"/>
                <w:sz w:val="16"/>
              </w:rPr>
              <w:t>AIDS infection (as written)</w:t>
            </w:r>
          </w:p>
        </w:tc>
      </w:tr>
      <w:tr>
        <w:trPr>
          <w:cantSplit/>
        </w:trPr>
        <w:tc>
          <w:tcPr>
            <w:tcW w:type="dxa" w:w="648"/>
            <w:tcMar>
              <w:top w:w="80" w:type="dxa"/>
              <w:start w:w="90" w:type="dxa"/>
              <w:bottom w:w="80" w:type="dxa"/>
              <w:end w:w="90" w:type="dxa"/>
            </w:tcMar>
            <w:vAlign w:val="top"/>
          </w:tcPr>
          <w:p>
            <w:pPr>
              <w:spacing w:after="0" w:line="240" w:lineRule="auto"/>
            </w:pPr>
            <w:r>
              <w:rPr>
                <w:rFonts w:ascii="Arial" w:hAnsi="Arial"/>
                <w:sz w:val="16"/>
              </w:rPr>
              <w:t>4</w:t>
            </w:r>
          </w:p>
        </w:tc>
        <w:tc>
          <w:tcPr>
            <w:tcW w:type="dxa" w:w="4320"/>
            <w:tcMar>
              <w:top w:w="80" w:type="dxa"/>
              <w:start w:w="90" w:type="dxa"/>
              <w:bottom w:w="80" w:type="dxa"/>
              <w:end w:w="90" w:type="dxa"/>
            </w:tcMar>
            <w:vAlign w:val="top"/>
          </w:tcPr>
          <w:p>
            <w:pPr>
              <w:spacing w:after="0" w:line="240" w:lineRule="auto"/>
            </w:pPr>
            <w:r>
              <w:rPr>
                <w:rFonts w:ascii="Arial" w:hAnsi="Arial"/>
                <w:sz w:val="16"/>
              </w:rPr>
              <w:t>Z.n. Myokarditis (Infarkt)</w:t>
            </w:r>
          </w:p>
        </w:tc>
        <w:tc>
          <w:tcPr>
            <w:tcW w:type="dxa" w:w="4536"/>
            <w:tcMar>
              <w:top w:w="80" w:type="dxa"/>
              <w:start w:w="90" w:type="dxa"/>
              <w:bottom w:w="80" w:type="dxa"/>
              <w:end w:w="90" w:type="dxa"/>
            </w:tcMar>
            <w:vAlign w:val="top"/>
          </w:tcPr>
          <w:p>
            <w:pPr>
              <w:spacing w:after="0" w:line="240" w:lineRule="auto"/>
            </w:pPr>
            <w:r>
              <w:rPr>
                <w:rFonts w:ascii="Arial" w:hAnsi="Arial"/>
                <w:sz w:val="16"/>
              </w:rPr>
              <w:t>Status post myocarditis / infarction (as written)</w:t>
            </w:r>
          </w:p>
        </w:tc>
      </w:tr>
      <w:tr>
        <w:trPr>
          <w:cantSplit/>
        </w:trPr>
        <w:tc>
          <w:tcPr>
            <w:tcW w:type="dxa" w:w="648"/>
            <w:tcMar>
              <w:top w:w="80" w:type="dxa"/>
              <w:start w:w="90" w:type="dxa"/>
              <w:bottom w:w="80" w:type="dxa"/>
              <w:end w:w="90" w:type="dxa"/>
            </w:tcMar>
            <w:vAlign w:val="top"/>
          </w:tcPr>
          <w:p>
            <w:pPr>
              <w:spacing w:after="0" w:line="240" w:lineRule="auto"/>
            </w:pPr>
            <w:r>
              <w:rPr>
                <w:rFonts w:ascii="Arial" w:hAnsi="Arial"/>
                <w:sz w:val="16"/>
              </w:rPr>
              <w:t>5</w:t>
            </w:r>
          </w:p>
        </w:tc>
        <w:tc>
          <w:tcPr>
            <w:tcW w:type="dxa" w:w="4320"/>
            <w:tcMar>
              <w:top w:w="80" w:type="dxa"/>
              <w:start w:w="90" w:type="dxa"/>
              <w:bottom w:w="80" w:type="dxa"/>
              <w:end w:w="90" w:type="dxa"/>
            </w:tcMar>
            <w:vAlign w:val="top"/>
          </w:tcPr>
          <w:p>
            <w:pPr>
              <w:spacing w:after="0" w:line="240" w:lineRule="auto"/>
            </w:pPr>
            <w:r>
              <w:rPr>
                <w:rFonts w:ascii="Arial" w:hAnsi="Arial"/>
                <w:sz w:val="16"/>
              </w:rPr>
              <w:t>Vitamin B 12 Mangelanämie</w:t>
            </w:r>
          </w:p>
        </w:tc>
        <w:tc>
          <w:tcPr>
            <w:tcW w:type="dxa" w:w="4536"/>
            <w:tcMar>
              <w:top w:w="80" w:type="dxa"/>
              <w:start w:w="90" w:type="dxa"/>
              <w:bottom w:w="80" w:type="dxa"/>
              <w:end w:w="90" w:type="dxa"/>
            </w:tcMar>
            <w:vAlign w:val="top"/>
          </w:tcPr>
          <w:p>
            <w:pPr>
              <w:spacing w:after="0" w:line="240" w:lineRule="auto"/>
            </w:pPr>
            <w:r>
              <w:rPr>
                <w:rFonts w:ascii="Arial" w:hAnsi="Arial"/>
                <w:sz w:val="16"/>
              </w:rPr>
              <w:t>Vitamin B12 deficiency anaemia</w:t>
            </w:r>
          </w:p>
        </w:tc>
      </w:tr>
      <w:tr>
        <w:trPr>
          <w:cantSplit/>
        </w:trPr>
        <w:tc>
          <w:tcPr>
            <w:tcW w:type="dxa" w:w="648"/>
            <w:tcMar>
              <w:top w:w="80" w:type="dxa"/>
              <w:start w:w="90" w:type="dxa"/>
              <w:bottom w:w="80" w:type="dxa"/>
              <w:end w:w="90" w:type="dxa"/>
            </w:tcMar>
            <w:vAlign w:val="top"/>
          </w:tcPr>
          <w:p>
            <w:pPr>
              <w:spacing w:after="0" w:line="240" w:lineRule="auto"/>
            </w:pPr>
            <w:r>
              <w:rPr>
                <w:rFonts w:ascii="Arial" w:hAnsi="Arial"/>
                <w:sz w:val="16"/>
              </w:rPr>
              <w:t>6</w:t>
            </w:r>
          </w:p>
        </w:tc>
        <w:tc>
          <w:tcPr>
            <w:tcW w:type="dxa" w:w="4320"/>
            <w:tcMar>
              <w:top w:w="80" w:type="dxa"/>
              <w:start w:w="90" w:type="dxa"/>
              <w:bottom w:w="80" w:type="dxa"/>
              <w:end w:w="90" w:type="dxa"/>
            </w:tcMar>
            <w:vAlign w:val="top"/>
          </w:tcPr>
          <w:p>
            <w:pPr>
              <w:spacing w:after="0" w:line="240" w:lineRule="auto"/>
            </w:pPr>
            <w:r>
              <w:rPr>
                <w:rFonts w:ascii="Arial" w:hAnsi="Arial"/>
                <w:sz w:val="16"/>
              </w:rPr>
              <w:t>Prostatitis chronisch</w:t>
            </w:r>
          </w:p>
        </w:tc>
        <w:tc>
          <w:tcPr>
            <w:tcW w:type="dxa" w:w="4536"/>
            <w:tcMar>
              <w:top w:w="80" w:type="dxa"/>
              <w:start w:w="90" w:type="dxa"/>
              <w:bottom w:w="80" w:type="dxa"/>
              <w:end w:w="90" w:type="dxa"/>
            </w:tcMar>
            <w:vAlign w:val="top"/>
          </w:tcPr>
          <w:p>
            <w:pPr>
              <w:spacing w:after="0" w:line="240" w:lineRule="auto"/>
            </w:pPr>
            <w:r>
              <w:rPr>
                <w:rFonts w:ascii="Arial" w:hAnsi="Arial"/>
                <w:sz w:val="16"/>
              </w:rPr>
              <w:t>Chronic prostatitis</w:t>
            </w:r>
          </w:p>
        </w:tc>
      </w:tr>
      <w:tr>
        <w:trPr>
          <w:cantSplit/>
        </w:trPr>
        <w:tc>
          <w:tcPr>
            <w:tcW w:type="dxa" w:w="648"/>
            <w:tcMar>
              <w:top w:w="80" w:type="dxa"/>
              <w:start w:w="90" w:type="dxa"/>
              <w:bottom w:w="80" w:type="dxa"/>
              <w:end w:w="90" w:type="dxa"/>
            </w:tcMar>
            <w:vAlign w:val="top"/>
          </w:tcPr>
          <w:p>
            <w:pPr>
              <w:spacing w:after="0" w:line="240" w:lineRule="auto"/>
            </w:pPr>
            <w:r>
              <w:rPr>
                <w:rFonts w:ascii="Arial" w:hAnsi="Arial"/>
                <w:sz w:val="16"/>
              </w:rPr>
              <w:t>7</w:t>
            </w:r>
          </w:p>
        </w:tc>
        <w:tc>
          <w:tcPr>
            <w:tcW w:type="dxa" w:w="4320"/>
            <w:tcMar>
              <w:top w:w="80" w:type="dxa"/>
              <w:start w:w="90" w:type="dxa"/>
              <w:bottom w:w="80" w:type="dxa"/>
              <w:end w:w="90" w:type="dxa"/>
            </w:tcMar>
            <w:vAlign w:val="top"/>
          </w:tcPr>
          <w:p>
            <w:pPr>
              <w:spacing w:after="0" w:line="240" w:lineRule="auto"/>
            </w:pPr>
            <w:r>
              <w:rPr>
                <w:rFonts w:ascii="Arial" w:hAnsi="Arial"/>
                <w:sz w:val="16"/>
              </w:rPr>
              <w:t>Z.n. Ulkus ventriculi</w:t>
            </w:r>
          </w:p>
        </w:tc>
        <w:tc>
          <w:tcPr>
            <w:tcW w:type="dxa" w:w="4536"/>
            <w:tcMar>
              <w:top w:w="80" w:type="dxa"/>
              <w:start w:w="90" w:type="dxa"/>
              <w:bottom w:w="80" w:type="dxa"/>
              <w:end w:w="90" w:type="dxa"/>
            </w:tcMar>
            <w:vAlign w:val="top"/>
          </w:tcPr>
          <w:p>
            <w:pPr>
              <w:spacing w:after="0" w:line="240" w:lineRule="auto"/>
            </w:pPr>
            <w:r>
              <w:rPr>
                <w:rFonts w:ascii="Arial" w:hAnsi="Arial"/>
                <w:sz w:val="16"/>
              </w:rPr>
              <w:t>Status post gastric ulcer</w:t>
            </w:r>
          </w:p>
        </w:tc>
      </w:tr>
      <w:tr>
        <w:trPr>
          <w:cantSplit/>
        </w:trPr>
        <w:tc>
          <w:tcPr>
            <w:tcW w:type="dxa" w:w="648"/>
            <w:tcMar>
              <w:top w:w="80" w:type="dxa"/>
              <w:start w:w="90" w:type="dxa"/>
              <w:bottom w:w="80" w:type="dxa"/>
              <w:end w:w="90" w:type="dxa"/>
            </w:tcMar>
            <w:vAlign w:val="top"/>
          </w:tcPr>
          <w:p>
            <w:pPr>
              <w:spacing w:after="0" w:line="240" w:lineRule="auto"/>
            </w:pPr>
            <w:r>
              <w:rPr>
                <w:rFonts w:ascii="Arial" w:hAnsi="Arial"/>
                <w:sz w:val="16"/>
              </w:rPr>
              <w:t>8</w:t>
            </w:r>
          </w:p>
        </w:tc>
        <w:tc>
          <w:tcPr>
            <w:tcW w:type="dxa" w:w="4320"/>
            <w:tcMar>
              <w:top w:w="80" w:type="dxa"/>
              <w:start w:w="90" w:type="dxa"/>
              <w:bottom w:w="80" w:type="dxa"/>
              <w:end w:w="90" w:type="dxa"/>
            </w:tcMar>
            <w:vAlign w:val="top"/>
          </w:tcPr>
          <w:p>
            <w:pPr>
              <w:spacing w:after="0" w:line="240" w:lineRule="auto"/>
            </w:pPr>
            <w:r>
              <w:rPr>
                <w:rFonts w:ascii="Arial" w:hAnsi="Arial"/>
                <w:sz w:val="16"/>
              </w:rPr>
              <w:t>Refluxösophagitis II</w:t>
            </w:r>
          </w:p>
        </w:tc>
        <w:tc>
          <w:tcPr>
            <w:tcW w:type="dxa" w:w="4536"/>
            <w:tcMar>
              <w:top w:w="80" w:type="dxa"/>
              <w:start w:w="90" w:type="dxa"/>
              <w:bottom w:w="80" w:type="dxa"/>
              <w:end w:w="90" w:type="dxa"/>
            </w:tcMar>
            <w:vAlign w:val="top"/>
          </w:tcPr>
          <w:p>
            <w:pPr>
              <w:spacing w:after="0" w:line="240" w:lineRule="auto"/>
            </w:pPr>
            <w:r>
              <w:rPr>
                <w:rFonts w:ascii="Arial" w:hAnsi="Arial"/>
                <w:sz w:val="16"/>
              </w:rPr>
              <w:t>Reflux oesophagitis, grade II</w:t>
            </w:r>
          </w:p>
        </w:tc>
      </w:tr>
      <w:tr>
        <w:trPr>
          <w:cantSplit/>
        </w:trPr>
        <w:tc>
          <w:tcPr>
            <w:tcW w:type="dxa" w:w="648"/>
            <w:tcMar>
              <w:top w:w="80" w:type="dxa"/>
              <w:start w:w="90" w:type="dxa"/>
              <w:bottom w:w="80" w:type="dxa"/>
              <w:end w:w="90" w:type="dxa"/>
            </w:tcMar>
            <w:vAlign w:val="top"/>
          </w:tcPr>
          <w:p>
            <w:pPr>
              <w:spacing w:after="0" w:line="240" w:lineRule="auto"/>
            </w:pPr>
            <w:r>
              <w:rPr>
                <w:rFonts w:ascii="Arial" w:hAnsi="Arial"/>
                <w:sz w:val="16"/>
              </w:rPr>
              <w:t>9</w:t>
            </w:r>
          </w:p>
        </w:tc>
        <w:tc>
          <w:tcPr>
            <w:tcW w:type="dxa" w:w="4320"/>
            <w:tcMar>
              <w:top w:w="80" w:type="dxa"/>
              <w:start w:w="90" w:type="dxa"/>
              <w:bottom w:w="80" w:type="dxa"/>
              <w:end w:w="90" w:type="dxa"/>
            </w:tcMar>
            <w:vAlign w:val="top"/>
          </w:tcPr>
          <w:p>
            <w:pPr>
              <w:spacing w:after="0" w:line="240" w:lineRule="auto"/>
            </w:pPr>
            <w:r>
              <w:rPr>
                <w:rFonts w:ascii="Arial" w:hAnsi="Arial"/>
                <w:sz w:val="16"/>
              </w:rPr>
              <w:t>Hepatitis A chronisch</w:t>
            </w:r>
          </w:p>
        </w:tc>
        <w:tc>
          <w:tcPr>
            <w:tcW w:type="dxa" w:w="4536"/>
            <w:tcMar>
              <w:top w:w="80" w:type="dxa"/>
              <w:start w:w="90" w:type="dxa"/>
              <w:bottom w:w="80" w:type="dxa"/>
              <w:end w:w="90" w:type="dxa"/>
            </w:tcMar>
            <w:vAlign w:val="top"/>
          </w:tcPr>
          <w:p>
            <w:pPr>
              <w:spacing w:after="0" w:line="240" w:lineRule="auto"/>
            </w:pPr>
            <w:r>
              <w:rPr>
                <w:rFonts w:ascii="Arial" w:hAnsi="Arial"/>
                <w:sz w:val="16"/>
              </w:rPr>
              <w:t>Chronic hepatitis A (as written)</w:t>
            </w:r>
          </w:p>
        </w:tc>
      </w:tr>
      <w:tr>
        <w:trPr>
          <w:cantSplit/>
        </w:trPr>
        <w:tc>
          <w:tcPr>
            <w:tcW w:type="dxa" w:w="648"/>
            <w:tcMar>
              <w:top w:w="80" w:type="dxa"/>
              <w:start w:w="90" w:type="dxa"/>
              <w:bottom w:w="80" w:type="dxa"/>
              <w:end w:w="90" w:type="dxa"/>
            </w:tcMar>
            <w:vAlign w:val="top"/>
          </w:tcPr>
          <w:p>
            <w:pPr>
              <w:spacing w:after="0" w:line="240" w:lineRule="auto"/>
            </w:pPr>
            <w:r>
              <w:rPr>
                <w:rFonts w:ascii="Arial" w:hAnsi="Arial"/>
                <w:sz w:val="16"/>
              </w:rPr>
              <w:t>10</w:t>
            </w:r>
          </w:p>
        </w:tc>
        <w:tc>
          <w:tcPr>
            <w:tcW w:type="dxa" w:w="4320"/>
            <w:tcMar>
              <w:top w:w="80" w:type="dxa"/>
              <w:start w:w="90" w:type="dxa"/>
              <w:bottom w:w="80" w:type="dxa"/>
              <w:end w:w="90" w:type="dxa"/>
            </w:tcMar>
            <w:vAlign w:val="top"/>
          </w:tcPr>
          <w:p>
            <w:pPr>
              <w:spacing w:after="0" w:line="240" w:lineRule="auto"/>
            </w:pPr>
            <w:r>
              <w:rPr>
                <w:rFonts w:ascii="Arial" w:hAnsi="Arial"/>
                <w:sz w:val="16"/>
              </w:rPr>
              <w:t>Z.n. Lues II (Suflis)</w:t>
            </w:r>
          </w:p>
        </w:tc>
        <w:tc>
          <w:tcPr>
            <w:tcW w:type="dxa" w:w="4536"/>
            <w:tcMar>
              <w:top w:w="80" w:type="dxa"/>
              <w:start w:w="90" w:type="dxa"/>
              <w:bottom w:w="80" w:type="dxa"/>
              <w:end w:w="90" w:type="dxa"/>
            </w:tcMar>
            <w:vAlign w:val="top"/>
          </w:tcPr>
          <w:p>
            <w:pPr>
              <w:spacing w:after="0" w:line="240" w:lineRule="auto"/>
            </w:pPr>
            <w:r>
              <w:rPr>
                <w:rFonts w:ascii="Arial" w:hAnsi="Arial"/>
                <w:sz w:val="16"/>
              </w:rPr>
              <w:t>Status post secondary syphilis (spelling as written)</w:t>
            </w:r>
          </w:p>
        </w:tc>
      </w:tr>
      <w:tr>
        <w:trPr>
          <w:cantSplit/>
        </w:trPr>
        <w:tc>
          <w:tcPr>
            <w:tcW w:type="dxa" w:w="648"/>
            <w:tcMar>
              <w:top w:w="80" w:type="dxa"/>
              <w:start w:w="90" w:type="dxa"/>
              <w:bottom w:w="80" w:type="dxa"/>
              <w:end w:w="90" w:type="dxa"/>
            </w:tcMar>
            <w:vAlign w:val="top"/>
          </w:tcPr>
          <w:p>
            <w:pPr>
              <w:spacing w:after="0" w:line="240" w:lineRule="auto"/>
            </w:pPr>
            <w:r>
              <w:rPr>
                <w:rFonts w:ascii="Arial" w:hAnsi="Arial"/>
                <w:sz w:val="16"/>
              </w:rPr>
              <w:t>11</w:t>
            </w:r>
          </w:p>
        </w:tc>
        <w:tc>
          <w:tcPr>
            <w:tcW w:type="dxa" w:w="4320"/>
            <w:tcMar>
              <w:top w:w="80" w:type="dxa"/>
              <w:start w:w="90" w:type="dxa"/>
              <w:bottom w:w="80" w:type="dxa"/>
              <w:end w:w="90" w:type="dxa"/>
            </w:tcMar>
            <w:vAlign w:val="top"/>
          </w:tcPr>
          <w:p>
            <w:pPr>
              <w:spacing w:after="0" w:line="240" w:lineRule="auto"/>
            </w:pPr>
            <w:r>
              <w:rPr>
                <w:rFonts w:ascii="Arial" w:hAnsi="Arial"/>
                <w:sz w:val="16"/>
              </w:rPr>
              <w:t>Hämorrhoiden</w:t>
            </w:r>
          </w:p>
        </w:tc>
        <w:tc>
          <w:tcPr>
            <w:tcW w:type="dxa" w:w="4536"/>
            <w:tcMar>
              <w:top w:w="80" w:type="dxa"/>
              <w:start w:w="90" w:type="dxa"/>
              <w:bottom w:w="80" w:type="dxa"/>
              <w:end w:w="90" w:type="dxa"/>
            </w:tcMar>
            <w:vAlign w:val="top"/>
          </w:tcPr>
          <w:p>
            <w:pPr>
              <w:spacing w:after="0" w:line="240" w:lineRule="auto"/>
            </w:pPr>
            <w:r>
              <w:rPr>
                <w:rFonts w:ascii="Arial" w:hAnsi="Arial"/>
                <w:sz w:val="16"/>
              </w:rPr>
              <w:t>Haemorrhoids</w:t>
            </w:r>
          </w:p>
        </w:tc>
      </w:tr>
      <w:tr>
        <w:trPr>
          <w:cantSplit/>
        </w:trPr>
        <w:tc>
          <w:tcPr>
            <w:tcW w:type="dxa" w:w="648"/>
            <w:tcMar>
              <w:top w:w="80" w:type="dxa"/>
              <w:start w:w="90" w:type="dxa"/>
              <w:bottom w:w="80" w:type="dxa"/>
              <w:end w:w="90" w:type="dxa"/>
            </w:tcMar>
            <w:vAlign w:val="top"/>
          </w:tcPr>
          <w:p>
            <w:pPr>
              <w:spacing w:after="0" w:line="240" w:lineRule="auto"/>
            </w:pPr>
            <w:r>
              <w:rPr>
                <w:rFonts w:ascii="Arial" w:hAnsi="Arial"/>
                <w:sz w:val="16"/>
              </w:rPr>
              <w:t>12</w:t>
            </w:r>
          </w:p>
        </w:tc>
        <w:tc>
          <w:tcPr>
            <w:tcW w:type="dxa" w:w="4320"/>
            <w:tcMar>
              <w:top w:w="80" w:type="dxa"/>
              <w:start w:w="90" w:type="dxa"/>
              <w:bottom w:w="80" w:type="dxa"/>
              <w:end w:w="90" w:type="dxa"/>
            </w:tcMar>
            <w:vAlign w:val="top"/>
          </w:tcPr>
          <w:p>
            <w:pPr>
              <w:spacing w:after="0" w:line="240" w:lineRule="auto"/>
            </w:pPr>
            <w:r>
              <w:rPr>
                <w:rFonts w:ascii="Arial" w:hAnsi="Arial"/>
                <w:sz w:val="16"/>
              </w:rPr>
              <w:t>Perniziöse Anämie</w:t>
            </w:r>
          </w:p>
        </w:tc>
        <w:tc>
          <w:tcPr>
            <w:tcW w:type="dxa" w:w="4536"/>
            <w:tcMar>
              <w:top w:w="80" w:type="dxa"/>
              <w:start w:w="90" w:type="dxa"/>
              <w:bottom w:w="80" w:type="dxa"/>
              <w:end w:w="90" w:type="dxa"/>
            </w:tcMar>
            <w:vAlign w:val="top"/>
          </w:tcPr>
          <w:p>
            <w:pPr>
              <w:spacing w:after="0" w:line="240" w:lineRule="auto"/>
            </w:pPr>
            <w:r>
              <w:rPr>
                <w:rFonts w:ascii="Arial" w:hAnsi="Arial"/>
                <w:sz w:val="16"/>
              </w:rPr>
              <w:t>Pernicious anaemia</w:t>
            </w:r>
          </w:p>
        </w:tc>
      </w:tr>
      <w:tr>
        <w:trPr>
          <w:cantSplit/>
        </w:trPr>
        <w:tc>
          <w:tcPr>
            <w:tcW w:type="dxa" w:w="648"/>
            <w:tcMar>
              <w:top w:w="80" w:type="dxa"/>
              <w:start w:w="90" w:type="dxa"/>
              <w:bottom w:w="80" w:type="dxa"/>
              <w:end w:w="90" w:type="dxa"/>
            </w:tcMar>
            <w:vAlign w:val="top"/>
          </w:tcPr>
          <w:p>
            <w:pPr>
              <w:spacing w:after="0" w:line="240" w:lineRule="auto"/>
            </w:pPr>
            <w:r>
              <w:rPr>
                <w:rFonts w:ascii="Arial" w:hAnsi="Arial"/>
                <w:sz w:val="16"/>
              </w:rPr>
              <w:t>13</w:t>
            </w:r>
          </w:p>
        </w:tc>
        <w:tc>
          <w:tcPr>
            <w:tcW w:type="dxa" w:w="4320"/>
            <w:tcMar>
              <w:top w:w="80" w:type="dxa"/>
              <w:start w:w="90" w:type="dxa"/>
              <w:bottom w:w="80" w:type="dxa"/>
              <w:end w:w="90" w:type="dxa"/>
            </w:tcMar>
            <w:vAlign w:val="top"/>
          </w:tcPr>
          <w:p>
            <w:pPr>
              <w:spacing w:after="0" w:line="240" w:lineRule="auto"/>
            </w:pPr>
            <w:r>
              <w:rPr>
                <w:rFonts w:ascii="Arial" w:hAnsi="Arial"/>
                <w:sz w:val="16"/>
              </w:rPr>
              <w:t>Somatisierungsstörung</w:t>
            </w:r>
          </w:p>
        </w:tc>
        <w:tc>
          <w:tcPr>
            <w:tcW w:type="dxa" w:w="4536"/>
            <w:tcMar>
              <w:top w:w="80" w:type="dxa"/>
              <w:start w:w="90" w:type="dxa"/>
              <w:bottom w:w="80" w:type="dxa"/>
              <w:end w:w="90" w:type="dxa"/>
            </w:tcMar>
            <w:vAlign w:val="top"/>
          </w:tcPr>
          <w:p>
            <w:pPr>
              <w:spacing w:after="0" w:line="240" w:lineRule="auto"/>
            </w:pPr>
            <w:r>
              <w:rPr>
                <w:rFonts w:ascii="Arial" w:hAnsi="Arial"/>
                <w:sz w:val="16"/>
              </w:rPr>
              <w:t>Somatisation disorder</w:t>
            </w:r>
          </w:p>
        </w:tc>
      </w:tr>
      <w:tr>
        <w:trPr>
          <w:cantSplit/>
        </w:trPr>
        <w:tc>
          <w:tcPr>
            <w:tcW w:type="dxa" w:w="648"/>
            <w:tcMar>
              <w:top w:w="80" w:type="dxa"/>
              <w:start w:w="90" w:type="dxa"/>
              <w:bottom w:w="80" w:type="dxa"/>
              <w:end w:w="90" w:type="dxa"/>
            </w:tcMar>
            <w:vAlign w:val="top"/>
          </w:tcPr>
          <w:p>
            <w:pPr>
              <w:spacing w:after="0" w:line="240" w:lineRule="auto"/>
            </w:pPr>
            <w:r>
              <w:rPr>
                <w:rFonts w:ascii="Arial" w:hAnsi="Arial"/>
                <w:sz w:val="16"/>
              </w:rPr>
              <w:t>14</w:t>
            </w:r>
          </w:p>
        </w:tc>
        <w:tc>
          <w:tcPr>
            <w:tcW w:type="dxa" w:w="4320"/>
            <w:tcMar>
              <w:top w:w="80" w:type="dxa"/>
              <w:start w:w="90" w:type="dxa"/>
              <w:bottom w:w="80" w:type="dxa"/>
              <w:end w:w="90" w:type="dxa"/>
            </w:tcMar>
            <w:vAlign w:val="top"/>
          </w:tcPr>
          <w:p>
            <w:pPr>
              <w:spacing w:after="0" w:line="240" w:lineRule="auto"/>
            </w:pPr>
            <w:r>
              <w:rPr>
                <w:rFonts w:ascii="Arial" w:hAnsi="Arial"/>
                <w:sz w:val="16"/>
              </w:rPr>
              <w:t>Asthmoide Bronchitis chronisch</w:t>
            </w:r>
          </w:p>
        </w:tc>
        <w:tc>
          <w:tcPr>
            <w:tcW w:type="dxa" w:w="4536"/>
            <w:tcMar>
              <w:top w:w="80" w:type="dxa"/>
              <w:start w:w="90" w:type="dxa"/>
              <w:bottom w:w="80" w:type="dxa"/>
              <w:end w:w="90" w:type="dxa"/>
            </w:tcMar>
            <w:vAlign w:val="top"/>
          </w:tcPr>
          <w:p>
            <w:pPr>
              <w:spacing w:after="0" w:line="240" w:lineRule="auto"/>
            </w:pPr>
            <w:r>
              <w:rPr>
                <w:rFonts w:ascii="Arial" w:hAnsi="Arial"/>
                <w:sz w:val="16"/>
              </w:rPr>
              <w:t>Chronic asthmoid bronchitis</w:t>
            </w:r>
          </w:p>
        </w:tc>
      </w:tr>
      <w:tr>
        <w:trPr>
          <w:cantSplit/>
        </w:trPr>
        <w:tc>
          <w:tcPr>
            <w:tcW w:type="dxa" w:w="648"/>
            <w:tcMar>
              <w:top w:w="80" w:type="dxa"/>
              <w:start w:w="90" w:type="dxa"/>
              <w:bottom w:w="80" w:type="dxa"/>
              <w:end w:w="90" w:type="dxa"/>
            </w:tcMar>
            <w:vAlign w:val="top"/>
          </w:tcPr>
          <w:p>
            <w:pPr>
              <w:spacing w:after="0" w:line="240" w:lineRule="auto"/>
            </w:pPr>
            <w:r>
              <w:rPr>
                <w:rFonts w:ascii="Arial" w:hAnsi="Arial"/>
                <w:sz w:val="16"/>
              </w:rPr>
              <w:t>15</w:t>
            </w:r>
          </w:p>
        </w:tc>
        <w:tc>
          <w:tcPr>
            <w:tcW w:type="dxa" w:w="4320"/>
            <w:tcMar>
              <w:top w:w="80" w:type="dxa"/>
              <w:start w:w="90" w:type="dxa"/>
              <w:bottom w:w="80" w:type="dxa"/>
              <w:end w:w="90" w:type="dxa"/>
            </w:tcMar>
            <w:vAlign w:val="top"/>
          </w:tcPr>
          <w:p>
            <w:pPr>
              <w:spacing w:after="0" w:line="240" w:lineRule="auto"/>
            </w:pPr>
            <w:r>
              <w:rPr>
                <w:rFonts w:ascii="Arial" w:hAnsi="Arial"/>
                <w:sz w:val="16"/>
              </w:rPr>
              <w:t>Erosive Pangastritis chronisch</w:t>
            </w:r>
          </w:p>
        </w:tc>
        <w:tc>
          <w:tcPr>
            <w:tcW w:type="dxa" w:w="4536"/>
            <w:tcMar>
              <w:top w:w="80" w:type="dxa"/>
              <w:start w:w="90" w:type="dxa"/>
              <w:bottom w:w="80" w:type="dxa"/>
              <w:end w:w="90" w:type="dxa"/>
            </w:tcMar>
            <w:vAlign w:val="top"/>
          </w:tcPr>
          <w:p>
            <w:pPr>
              <w:spacing w:after="0" w:line="240" w:lineRule="auto"/>
            </w:pPr>
            <w:r>
              <w:rPr>
                <w:rFonts w:ascii="Arial" w:hAnsi="Arial"/>
                <w:sz w:val="16"/>
              </w:rPr>
              <w:t>Chronic erosive pangastritis</w:t>
            </w:r>
          </w:p>
        </w:tc>
      </w:tr>
      <w:tr>
        <w:trPr>
          <w:cantSplit/>
        </w:trPr>
        <w:tc>
          <w:tcPr>
            <w:tcW w:type="dxa" w:w="648"/>
            <w:tcMar>
              <w:top w:w="80" w:type="dxa"/>
              <w:start w:w="90" w:type="dxa"/>
              <w:bottom w:w="80" w:type="dxa"/>
              <w:end w:w="90" w:type="dxa"/>
            </w:tcMar>
            <w:vAlign w:val="top"/>
          </w:tcPr>
          <w:p>
            <w:pPr>
              <w:spacing w:after="0" w:line="240" w:lineRule="auto"/>
            </w:pPr>
            <w:r>
              <w:rPr>
                <w:rFonts w:ascii="Arial" w:hAnsi="Arial"/>
                <w:sz w:val="16"/>
              </w:rPr>
              <w:t>16</w:t>
            </w:r>
          </w:p>
        </w:tc>
        <w:tc>
          <w:tcPr>
            <w:tcW w:type="dxa" w:w="4320"/>
            <w:tcMar>
              <w:top w:w="80" w:type="dxa"/>
              <w:start w:w="90" w:type="dxa"/>
              <w:bottom w:w="80" w:type="dxa"/>
              <w:end w:w="90" w:type="dxa"/>
            </w:tcMar>
            <w:vAlign w:val="top"/>
          </w:tcPr>
          <w:p>
            <w:pPr>
              <w:spacing w:after="0" w:line="240" w:lineRule="auto"/>
            </w:pPr>
            <w:r>
              <w:rPr>
                <w:rFonts w:ascii="Arial" w:hAnsi="Arial"/>
                <w:sz w:val="16"/>
              </w:rPr>
              <w:t>schwere Seelische Krankheit</w:t>
            </w:r>
          </w:p>
        </w:tc>
        <w:tc>
          <w:tcPr>
            <w:tcW w:type="dxa" w:w="4536"/>
            <w:tcMar>
              <w:top w:w="80" w:type="dxa"/>
              <w:start w:w="90" w:type="dxa"/>
              <w:bottom w:w="80" w:type="dxa"/>
              <w:end w:w="90" w:type="dxa"/>
            </w:tcMar>
            <w:vAlign w:val="top"/>
          </w:tcPr>
          <w:p>
            <w:pPr>
              <w:spacing w:after="0" w:line="240" w:lineRule="auto"/>
            </w:pPr>
            <w:r>
              <w:rPr>
                <w:rFonts w:ascii="Arial" w:hAnsi="Arial"/>
                <w:sz w:val="16"/>
              </w:rPr>
              <w:t>Severe mental illness</w:t>
            </w:r>
          </w:p>
        </w:tc>
      </w:tr>
    </w:tbl>
    <w:p>
      <w:pPr>
        <w:spacing w:after="40"/>
      </w:pPr>
    </w:p>
    <w:tbl>
      <w:tblPr>
        <w:tblW w:type="auto" w:w="0"/>
        <w:jc w:val="center"/>
        <w:tblLayout w:type="fixed"/>
        <w:tblLook w:firstColumn="1" w:firstRow="1" w:lastColumn="0" w:lastRow="0" w:noHBand="0" w:noVBand="1" w:val="04A0"/>
        <w:tblBorders>
          <w:top w:val="single" w:sz="2" w:space="0" w:color="FFF2CC"/>
          <w:left w:val="single" w:sz="2" w:space="0" w:color="FFF2CC"/>
          <w:bottom w:val="single" w:sz="2" w:space="0" w:color="FFF2CC"/>
          <w:right w:val="single" w:sz="2" w:space="0" w:color="FFF2CC"/>
          <w:insideH w:val="single" w:sz="2" w:space="0" w:color="FFF2CC"/>
          <w:insideV w:val="single" w:sz="2" w:space="0" w:color="FFF2CC"/>
        </w:tblBorders>
      </w:tblPr>
      <w:tblGrid>
        <w:gridCol w:w="9648"/>
      </w:tblGrid>
      <w:tr>
        <w:tc>
          <w:tcPr>
            <w:tcW w:type="dxa" w:w="9752"/>
            <w:shd w:fill="FFF2CC"/>
            <w:tcMar>
              <w:top w:w="80" w:type="dxa"/>
              <w:start w:w="120" w:type="dxa"/>
              <w:bottom w:w="80" w:type="dxa"/>
              <w:end w:w="120" w:type="dxa"/>
            </w:tcMar>
          </w:tcPr>
          <w:p>
            <w:pPr>
              <w:spacing w:after="0" w:line="252" w:lineRule="auto"/>
            </w:pPr>
            <w:r>
              <w:rPr>
                <w:rFonts w:ascii="Arial" w:hAnsi="Arial"/>
                <w:b/>
                <w:color w:val="17365D"/>
                <w:sz w:val="19"/>
              </w:rPr>
              <w:t xml:space="preserve">EVIDENTIARY LIMIT: </w:t>
            </w:r>
            <w:r>
              <w:rPr>
                <w:rFonts w:ascii="Arial" w:hAnsi="Arial"/>
                <w:color w:val="000000"/>
                <w:sz w:val="19"/>
              </w:rPr>
              <w:t>No medical certificate, hospital record, laboratory result, diagnosis letter, disability decision or expert report is included in D1. The medical list cannot be marked as independently medically verified on the basis of this source alone.</w:t>
            </w:r>
          </w:p>
        </w:tc>
      </w:tr>
    </w:tbl>
    <w:p>
      <w:pPr>
        <w:spacing w:after="80" w:before="0"/>
      </w:pPr>
    </w:p>
    <w:p>
      <w:pPr>
        <w:pStyle w:val="Heading1"/>
        <w:keepNext/>
        <w:spacing w:before="200" w:after="80"/>
      </w:pPr>
      <w:r>
        <w:t>7. Allegations Recorded in D1 - Not Independent Findings</w:t>
      </w:r>
    </w:p>
    <w:p>
      <w:pPr>
        <w:spacing w:after="100" w:line="259" w:lineRule="auto"/>
      </w:pPr>
      <w:r>
        <w:rPr>
          <w:rFonts w:ascii="Arial" w:hAnsi="Arial"/>
          <w:i w:val="0"/>
          <w:sz w:val="20"/>
        </w:rPr>
        <w:t>The following allegations are important because they show what Raphaels-Werk was told. They are not converted into proven facts by this single letter:</w:t>
      </w:r>
    </w:p>
    <w:p>
      <w:pPr>
        <w:pStyle w:val="ListBullet"/>
        <w:spacing w:after="40" w:line="252" w:lineRule="auto"/>
      </w:pPr>
      <w:r>
        <w:rPr>
          <w:rFonts w:ascii="Arial" w:hAnsi="Arial"/>
          <w:sz w:val="19"/>
        </w:rPr>
        <w:t>the German justice system concealed criminal conduct despite sufficient evidence;</w:t>
      </w:r>
    </w:p>
    <w:p>
      <w:pPr>
        <w:pStyle w:val="ListBullet"/>
        <w:spacing w:after="40" w:line="252" w:lineRule="auto"/>
      </w:pPr>
      <w:r>
        <w:rPr>
          <w:rFonts w:ascii="Arial" w:hAnsi="Arial"/>
          <w:sz w:val="19"/>
        </w:rPr>
        <w:t>only prosecutors and state psychiatrists could obtain the necessary evidence, but would not do so;</w:t>
      </w:r>
    </w:p>
    <w:p>
      <w:pPr>
        <w:pStyle w:val="ListBullet"/>
        <w:spacing w:after="40" w:line="252" w:lineRule="auto"/>
      </w:pPr>
      <w:r>
        <w:rPr>
          <w:rFonts w:ascii="Arial" w:hAnsi="Arial"/>
          <w:sz w:val="19"/>
        </w:rPr>
        <w:t>a Charité diagnosis was false and would be exposed by an independent examination;</w:t>
      </w:r>
    </w:p>
    <w:p>
      <w:pPr>
        <w:pStyle w:val="ListBullet"/>
        <w:spacing w:after="40" w:line="252" w:lineRule="auto"/>
      </w:pPr>
      <w:r>
        <w:rPr>
          <w:rFonts w:ascii="Arial" w:hAnsi="Arial"/>
          <w:sz w:val="19"/>
        </w:rPr>
        <w:t>the applicant’s life had been destroyed and this was not accidental; and</w:t>
      </w:r>
    </w:p>
    <w:p>
      <w:pPr>
        <w:pStyle w:val="ListBullet"/>
        <w:spacing w:after="40" w:line="252" w:lineRule="auto"/>
      </w:pPr>
      <w:r>
        <w:rPr>
          <w:rFonts w:ascii="Arial" w:hAnsi="Arial"/>
          <w:sz w:val="19"/>
        </w:rPr>
        <w:t>politics and a psychiatric institution had worked together.</w:t>
      </w:r>
    </w:p>
    <w:tbl>
      <w:tblPr>
        <w:tblW w:type="auto" w:w="0"/>
        <w:jc w:val="center"/>
        <w:tblLayout w:type="fixed"/>
        <w:tblLook w:firstColumn="1" w:firstRow="1" w:lastColumn="0" w:lastRow="0" w:noHBand="0" w:noVBand="1" w:val="04A0"/>
        <w:tblBorders>
          <w:top w:val="single" w:sz="2" w:space="0" w:color="EAF2F8"/>
          <w:left w:val="single" w:sz="2" w:space="0" w:color="EAF2F8"/>
          <w:bottom w:val="single" w:sz="2" w:space="0" w:color="EAF2F8"/>
          <w:right w:val="single" w:sz="2" w:space="0" w:color="EAF2F8"/>
          <w:insideH w:val="single" w:sz="2" w:space="0" w:color="EAF2F8"/>
          <w:insideV w:val="single" w:sz="2" w:space="0" w:color="EAF2F8"/>
        </w:tblBorders>
      </w:tblPr>
      <w:tblGrid>
        <w:gridCol w:w="9648"/>
      </w:tblGrid>
      <w:tr>
        <w:tc>
          <w:tcPr>
            <w:tcW w:type="dxa" w:w="9752"/>
            <w:shd w:fill="EAF2F8"/>
            <w:tcMar>
              <w:top w:w="80" w:type="dxa"/>
              <w:start w:w="120" w:type="dxa"/>
              <w:bottom w:w="80" w:type="dxa"/>
              <w:end w:w="120" w:type="dxa"/>
            </w:tcMar>
          </w:tcPr>
          <w:p>
            <w:pPr>
              <w:spacing w:after="0" w:line="252" w:lineRule="auto"/>
            </w:pPr>
            <w:r>
              <w:rPr>
                <w:rFonts w:ascii="Arial" w:hAnsi="Arial"/>
                <w:b/>
                <w:color w:val="17365D"/>
                <w:sz w:val="19"/>
              </w:rPr>
              <w:t xml:space="preserve">DOCUMENTARILY VERIFIED - NOTICE CONTENT: </w:t>
            </w:r>
            <w:r>
              <w:rPr>
                <w:rFonts w:ascii="Arial" w:hAnsi="Arial"/>
                <w:color w:val="000000"/>
                <w:sz w:val="19"/>
              </w:rPr>
              <w:t>Raphaels-Werk received a document containing these allegations. The current source does not independently prove the alleged concealment, false diagnosis, coordination or underlying crimes.</w:t>
            </w:r>
          </w:p>
        </w:tc>
      </w:tr>
    </w:tbl>
    <w:p>
      <w:pPr>
        <w:spacing w:after="80" w:before="0"/>
      </w:pPr>
    </w:p>
    <w:p>
      <w:r>
        <w:br w:type="page"/>
      </w:r>
    </w:p>
    <w:p>
      <w:pPr>
        <w:pStyle w:val="Heading1"/>
        <w:keepNext/>
        <w:spacing w:before="200" w:after="80"/>
      </w:pPr>
      <w:r>
        <w:t>8. Contradictions, Omissions, Procedural Gaps and Unanswered Matters</w:t>
      </w:r>
    </w:p>
    <w:p>
      <w:pPr>
        <w:spacing w:after="100" w:line="259" w:lineRule="auto"/>
      </w:pPr>
      <w:r>
        <w:rPr>
          <w:rFonts w:ascii="Arial" w:hAnsi="Arial"/>
          <w:i w:val="0"/>
          <w:sz w:val="20"/>
        </w:rPr>
        <w:t>No internal contradiction defeats the central notice finding. The document date, recipient, suicide date and receipt stamp are mutually coherent. The principal defects are not contradictions in the warning; they are missing recipient-side records and missing corroborating records in the uploaded file.</w:t>
      </w:r>
    </w:p>
    <w:tbl>
      <w:tblPr>
        <w:tblW w:type="auto" w:w="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3251"/>
        <w:gridCol w:w="3251"/>
        <w:gridCol w:w="3251"/>
      </w:tblGrid>
      <w:tr>
        <w:trPr>
          <w:tblHeader w:val="true"/>
          <w:cantSplit/>
        </w:trPr>
        <w:tc>
          <w:tcPr>
            <w:tcW w:type="dxa" w:w="2088"/>
            <w:shd w:fill="17365D"/>
            <w:tcMar>
              <w:top w:w="80" w:type="dxa"/>
              <w:start w:w="90" w:type="dxa"/>
              <w:bottom w:w="80" w:type="dxa"/>
              <w:end w:w="90" w:type="dxa"/>
            </w:tcMar>
            <w:vAlign w:val="center"/>
          </w:tcPr>
          <w:p>
            <w:pPr>
              <w:spacing w:after="0"/>
              <w:jc w:val="left"/>
            </w:pPr>
            <w:r>
              <w:rPr>
                <w:rFonts w:ascii="Arial" w:hAnsi="Arial"/>
                <w:b/>
                <w:color w:val="FFFFFF"/>
                <w:sz w:val="17"/>
              </w:rPr>
              <w:t>Documentary gap</w:t>
            </w:r>
          </w:p>
        </w:tc>
        <w:tc>
          <w:tcPr>
            <w:tcW w:type="dxa" w:w="3816"/>
            <w:shd w:fill="17365D"/>
            <w:tcMar>
              <w:top w:w="80" w:type="dxa"/>
              <w:start w:w="90" w:type="dxa"/>
              <w:bottom w:w="80" w:type="dxa"/>
              <w:end w:w="90" w:type="dxa"/>
            </w:tcMar>
            <w:vAlign w:val="center"/>
          </w:tcPr>
          <w:p>
            <w:pPr>
              <w:spacing w:after="0"/>
              <w:jc w:val="left"/>
            </w:pPr>
            <w:r>
              <w:rPr>
                <w:rFonts w:ascii="Arial" w:hAnsi="Arial"/>
                <w:b/>
                <w:color w:val="FFFFFF"/>
                <w:sz w:val="17"/>
              </w:rPr>
              <w:t>What the uploaded record shows</w:t>
            </w:r>
          </w:p>
        </w:tc>
        <w:tc>
          <w:tcPr>
            <w:tcW w:type="dxa" w:w="3672"/>
            <w:shd w:fill="17365D"/>
            <w:tcMar>
              <w:top w:w="80" w:type="dxa"/>
              <w:start w:w="90" w:type="dxa"/>
              <w:bottom w:w="80" w:type="dxa"/>
              <w:end w:w="90" w:type="dxa"/>
            </w:tcMar>
            <w:vAlign w:val="center"/>
          </w:tcPr>
          <w:p>
            <w:pPr>
              <w:spacing w:after="0"/>
              <w:jc w:val="left"/>
            </w:pPr>
            <w:r>
              <w:rPr>
                <w:rFonts w:ascii="Arial" w:hAnsi="Arial"/>
                <w:b/>
                <w:color w:val="FFFFFF"/>
                <w:sz w:val="17"/>
              </w:rPr>
              <w:t>Legal/evidentiary consequence</w:t>
            </w:r>
          </w:p>
        </w:tc>
      </w:tr>
      <w:tr>
        <w:trPr>
          <w:cantSplit/>
        </w:trPr>
        <w:tc>
          <w:tcPr>
            <w:tcW w:type="dxa" w:w="2088"/>
            <w:tcMar>
              <w:top w:w="80" w:type="dxa"/>
              <w:start w:w="90" w:type="dxa"/>
              <w:bottom w:w="80" w:type="dxa"/>
              <w:end w:w="90" w:type="dxa"/>
            </w:tcMar>
            <w:vAlign w:val="top"/>
          </w:tcPr>
          <w:p>
            <w:pPr>
              <w:spacing w:after="0" w:line="240" w:lineRule="auto"/>
            </w:pPr>
            <w:r>
              <w:rPr>
                <w:rFonts w:ascii="Arial" w:hAnsi="Arial"/>
                <w:sz w:val="16"/>
              </w:rPr>
              <w:t>No case or intake number</w:t>
            </w:r>
          </w:p>
        </w:tc>
        <w:tc>
          <w:tcPr>
            <w:tcW w:type="dxa" w:w="3816"/>
            <w:tcMar>
              <w:top w:w="80" w:type="dxa"/>
              <w:start w:w="90" w:type="dxa"/>
              <w:bottom w:w="80" w:type="dxa"/>
              <w:end w:w="90" w:type="dxa"/>
            </w:tcMar>
            <w:vAlign w:val="top"/>
          </w:tcPr>
          <w:p>
            <w:pPr>
              <w:spacing w:after="0" w:line="240" w:lineRule="auto"/>
            </w:pPr>
            <w:r>
              <w:rPr>
                <w:rFonts w:ascii="Arial" w:hAnsi="Arial"/>
                <w:sz w:val="16"/>
              </w:rPr>
              <w:t>The receipt stamp does not display a legible case, file, registration or intake number.</w:t>
            </w:r>
          </w:p>
        </w:tc>
        <w:tc>
          <w:tcPr>
            <w:tcW w:type="dxa" w:w="3672"/>
            <w:tcMar>
              <w:top w:w="80" w:type="dxa"/>
              <w:start w:w="90" w:type="dxa"/>
              <w:bottom w:w="80" w:type="dxa"/>
              <w:end w:w="90" w:type="dxa"/>
            </w:tcMar>
            <w:vAlign w:val="top"/>
          </w:tcPr>
          <w:p>
            <w:pPr>
              <w:spacing w:after="0" w:line="240" w:lineRule="auto"/>
            </w:pPr>
            <w:r>
              <w:rPr>
                <w:rFonts w:ascii="Arial" w:hAnsi="Arial"/>
                <w:sz w:val="16"/>
              </w:rPr>
              <w:t>Prevents direct tracing of the recipient’s internal file.</w:t>
            </w:r>
          </w:p>
        </w:tc>
      </w:tr>
      <w:tr>
        <w:trPr>
          <w:cantSplit/>
        </w:trPr>
        <w:tc>
          <w:tcPr>
            <w:tcW w:type="dxa" w:w="2088"/>
            <w:tcMar>
              <w:top w:w="80" w:type="dxa"/>
              <w:start w:w="90" w:type="dxa"/>
              <w:bottom w:w="80" w:type="dxa"/>
              <w:end w:w="90" w:type="dxa"/>
            </w:tcMar>
            <w:vAlign w:val="top"/>
          </w:tcPr>
          <w:p>
            <w:pPr>
              <w:spacing w:after="0" w:line="240" w:lineRule="auto"/>
            </w:pPr>
            <w:r>
              <w:rPr>
                <w:rFonts w:ascii="Arial" w:hAnsi="Arial"/>
                <w:sz w:val="16"/>
              </w:rPr>
              <w:t>No named receiving staff member</w:t>
            </w:r>
          </w:p>
        </w:tc>
        <w:tc>
          <w:tcPr>
            <w:tcW w:type="dxa" w:w="3816"/>
            <w:tcMar>
              <w:top w:w="80" w:type="dxa"/>
              <w:start w:w="90" w:type="dxa"/>
              <w:bottom w:w="80" w:type="dxa"/>
              <w:end w:w="90" w:type="dxa"/>
            </w:tcMar>
            <w:vAlign w:val="top"/>
          </w:tcPr>
          <w:p>
            <w:pPr>
              <w:spacing w:after="0" w:line="240" w:lineRule="auto"/>
            </w:pPr>
            <w:r>
              <w:rPr>
                <w:rFonts w:ascii="Arial" w:hAnsi="Arial"/>
                <w:sz w:val="16"/>
              </w:rPr>
              <w:t>No staff signature, name or initials are visible.</w:t>
            </w:r>
          </w:p>
        </w:tc>
        <w:tc>
          <w:tcPr>
            <w:tcW w:type="dxa" w:w="3672"/>
            <w:tcMar>
              <w:top w:w="80" w:type="dxa"/>
              <w:start w:w="90" w:type="dxa"/>
              <w:bottom w:w="80" w:type="dxa"/>
              <w:end w:w="90" w:type="dxa"/>
            </w:tcMar>
            <w:vAlign w:val="top"/>
          </w:tcPr>
          <w:p>
            <w:pPr>
              <w:spacing w:after="0" w:line="240" w:lineRule="auto"/>
            </w:pPr>
            <w:r>
              <w:rPr>
                <w:rFonts w:ascii="Arial" w:hAnsi="Arial"/>
                <w:sz w:val="16"/>
              </w:rPr>
              <w:t>Prevents identification of the first handler.</w:t>
            </w:r>
          </w:p>
        </w:tc>
      </w:tr>
      <w:tr>
        <w:trPr>
          <w:cantSplit/>
        </w:trPr>
        <w:tc>
          <w:tcPr>
            <w:tcW w:type="dxa" w:w="2088"/>
            <w:tcMar>
              <w:top w:w="80" w:type="dxa"/>
              <w:start w:w="90" w:type="dxa"/>
              <w:bottom w:w="80" w:type="dxa"/>
              <w:end w:w="90" w:type="dxa"/>
            </w:tcMar>
            <w:vAlign w:val="top"/>
          </w:tcPr>
          <w:p>
            <w:pPr>
              <w:spacing w:after="0" w:line="240" w:lineRule="auto"/>
            </w:pPr>
            <w:r>
              <w:rPr>
                <w:rFonts w:ascii="Arial" w:hAnsi="Arial"/>
                <w:sz w:val="16"/>
              </w:rPr>
              <w:t>No completed action field</w:t>
            </w:r>
          </w:p>
        </w:tc>
        <w:tc>
          <w:tcPr>
            <w:tcW w:type="dxa" w:w="3816"/>
            <w:tcMar>
              <w:top w:w="80" w:type="dxa"/>
              <w:start w:w="90" w:type="dxa"/>
              <w:bottom w:w="80" w:type="dxa"/>
              <w:end w:w="90" w:type="dxa"/>
            </w:tcMar>
            <w:vAlign w:val="top"/>
          </w:tcPr>
          <w:p>
            <w:pPr>
              <w:spacing w:after="0" w:line="240" w:lineRule="auto"/>
            </w:pPr>
            <w:r>
              <w:rPr>
                <w:rFonts w:ascii="Arial" w:hAnsi="Arial"/>
                <w:sz w:val="16"/>
              </w:rPr>
              <w:t>The stamp includes “Erled.” but no legible completion entry is visible.</w:t>
            </w:r>
          </w:p>
        </w:tc>
        <w:tc>
          <w:tcPr>
            <w:tcW w:type="dxa" w:w="3672"/>
            <w:tcMar>
              <w:top w:w="80" w:type="dxa"/>
              <w:start w:w="90" w:type="dxa"/>
              <w:bottom w:w="80" w:type="dxa"/>
              <w:end w:w="90" w:type="dxa"/>
            </w:tcMar>
            <w:vAlign w:val="top"/>
          </w:tcPr>
          <w:p>
            <w:pPr>
              <w:spacing w:after="0" w:line="240" w:lineRule="auto"/>
            </w:pPr>
            <w:r>
              <w:rPr>
                <w:rFonts w:ascii="Arial" w:hAnsi="Arial"/>
                <w:sz w:val="16"/>
              </w:rPr>
              <w:t>Does not show what action, if any, was taken or when.</w:t>
            </w:r>
          </w:p>
        </w:tc>
      </w:tr>
      <w:tr>
        <w:trPr>
          <w:cantSplit/>
        </w:trPr>
        <w:tc>
          <w:tcPr>
            <w:tcW w:type="dxa" w:w="2088"/>
            <w:tcMar>
              <w:top w:w="80" w:type="dxa"/>
              <w:start w:w="90" w:type="dxa"/>
              <w:bottom w:w="80" w:type="dxa"/>
              <w:end w:w="90" w:type="dxa"/>
            </w:tcMar>
            <w:vAlign w:val="top"/>
          </w:tcPr>
          <w:p>
            <w:pPr>
              <w:spacing w:after="0" w:line="240" w:lineRule="auto"/>
            </w:pPr>
            <w:r>
              <w:rPr>
                <w:rFonts w:ascii="Arial" w:hAnsi="Arial"/>
                <w:sz w:val="16"/>
              </w:rPr>
              <w:t>No reply or acknowledgment</w:t>
            </w:r>
          </w:p>
        </w:tc>
        <w:tc>
          <w:tcPr>
            <w:tcW w:type="dxa" w:w="3816"/>
            <w:tcMar>
              <w:top w:w="80" w:type="dxa"/>
              <w:start w:w="90" w:type="dxa"/>
              <w:bottom w:w="80" w:type="dxa"/>
              <w:end w:w="90" w:type="dxa"/>
            </w:tcMar>
            <w:vAlign w:val="top"/>
          </w:tcPr>
          <w:p>
            <w:pPr>
              <w:spacing w:after="0" w:line="240" w:lineRule="auto"/>
            </w:pPr>
            <w:r>
              <w:rPr>
                <w:rFonts w:ascii="Arial" w:hAnsi="Arial"/>
                <w:sz w:val="16"/>
              </w:rPr>
              <w:t>No recipient response is included in the upload.</w:t>
            </w:r>
          </w:p>
        </w:tc>
        <w:tc>
          <w:tcPr>
            <w:tcW w:type="dxa" w:w="3672"/>
            <w:tcMar>
              <w:top w:w="80" w:type="dxa"/>
              <w:start w:w="90" w:type="dxa"/>
              <w:bottom w:w="80" w:type="dxa"/>
              <w:end w:w="90" w:type="dxa"/>
            </w:tcMar>
            <w:vAlign w:val="top"/>
          </w:tcPr>
          <w:p>
            <w:pPr>
              <w:spacing w:after="0" w:line="240" w:lineRule="auto"/>
            </w:pPr>
            <w:r>
              <w:rPr>
                <w:rFonts w:ascii="Arial" w:hAnsi="Arial"/>
                <w:sz w:val="16"/>
              </w:rPr>
              <w:t>The report cannot determine whether the warning was answered.</w:t>
            </w:r>
          </w:p>
        </w:tc>
      </w:tr>
      <w:tr>
        <w:trPr>
          <w:cantSplit/>
        </w:trPr>
        <w:tc>
          <w:tcPr>
            <w:tcW w:type="dxa" w:w="2088"/>
            <w:tcMar>
              <w:top w:w="80" w:type="dxa"/>
              <w:start w:w="90" w:type="dxa"/>
              <w:bottom w:w="80" w:type="dxa"/>
              <w:end w:w="90" w:type="dxa"/>
            </w:tcMar>
            <w:vAlign w:val="top"/>
          </w:tcPr>
          <w:p>
            <w:pPr>
              <w:spacing w:after="0" w:line="240" w:lineRule="auto"/>
            </w:pPr>
            <w:r>
              <w:rPr>
                <w:rFonts w:ascii="Arial" w:hAnsi="Arial"/>
                <w:sz w:val="16"/>
              </w:rPr>
              <w:t>No risk assessment</w:t>
            </w:r>
          </w:p>
        </w:tc>
        <w:tc>
          <w:tcPr>
            <w:tcW w:type="dxa" w:w="3816"/>
            <w:tcMar>
              <w:top w:w="80" w:type="dxa"/>
              <w:start w:w="90" w:type="dxa"/>
              <w:bottom w:w="80" w:type="dxa"/>
              <w:end w:w="90" w:type="dxa"/>
            </w:tcMar>
            <w:vAlign w:val="top"/>
          </w:tcPr>
          <w:p>
            <w:pPr>
              <w:spacing w:after="0" w:line="240" w:lineRule="auto"/>
            </w:pPr>
            <w:r>
              <w:rPr>
                <w:rFonts w:ascii="Arial" w:hAnsi="Arial"/>
                <w:sz w:val="16"/>
              </w:rPr>
              <w:t>No internal suicide-risk assessment or escalation record is included.</w:t>
            </w:r>
          </w:p>
        </w:tc>
        <w:tc>
          <w:tcPr>
            <w:tcW w:type="dxa" w:w="3672"/>
            <w:tcMar>
              <w:top w:w="80" w:type="dxa"/>
              <w:start w:w="90" w:type="dxa"/>
              <w:bottom w:w="80" w:type="dxa"/>
              <w:end w:w="90" w:type="dxa"/>
            </w:tcMar>
            <w:vAlign w:val="top"/>
          </w:tcPr>
          <w:p>
            <w:pPr>
              <w:spacing w:after="0" w:line="240" w:lineRule="auto"/>
            </w:pPr>
            <w:r>
              <w:rPr>
                <w:rFonts w:ascii="Arial" w:hAnsi="Arial"/>
                <w:sz w:val="16"/>
              </w:rPr>
              <w:t>The adequacy of recipient handling cannot be tested.</w:t>
            </w:r>
          </w:p>
        </w:tc>
      </w:tr>
      <w:tr>
        <w:trPr>
          <w:cantSplit/>
        </w:trPr>
        <w:tc>
          <w:tcPr>
            <w:tcW w:type="dxa" w:w="2088"/>
            <w:tcMar>
              <w:top w:w="80" w:type="dxa"/>
              <w:start w:w="90" w:type="dxa"/>
              <w:bottom w:w="80" w:type="dxa"/>
              <w:end w:w="90" w:type="dxa"/>
            </w:tcMar>
            <w:vAlign w:val="top"/>
          </w:tcPr>
          <w:p>
            <w:pPr>
              <w:spacing w:after="0" w:line="240" w:lineRule="auto"/>
            </w:pPr>
            <w:r>
              <w:rPr>
                <w:rFonts w:ascii="Arial" w:hAnsi="Arial"/>
                <w:sz w:val="16"/>
              </w:rPr>
              <w:t>No referral or emergency record</w:t>
            </w:r>
          </w:p>
        </w:tc>
        <w:tc>
          <w:tcPr>
            <w:tcW w:type="dxa" w:w="3816"/>
            <w:tcMar>
              <w:top w:w="80" w:type="dxa"/>
              <w:start w:w="90" w:type="dxa"/>
              <w:bottom w:w="80" w:type="dxa"/>
              <w:end w:w="90" w:type="dxa"/>
            </w:tcMar>
            <w:vAlign w:val="top"/>
          </w:tcPr>
          <w:p>
            <w:pPr>
              <w:spacing w:after="0" w:line="240" w:lineRule="auto"/>
            </w:pPr>
            <w:r>
              <w:rPr>
                <w:rFonts w:ascii="Arial" w:hAnsi="Arial"/>
                <w:sz w:val="16"/>
              </w:rPr>
              <w:t>No record of contact with medical services, police, social services, legal counsel, family or another competent body is included.</w:t>
            </w:r>
          </w:p>
        </w:tc>
        <w:tc>
          <w:tcPr>
            <w:tcW w:type="dxa" w:w="3672"/>
            <w:tcMar>
              <w:top w:w="80" w:type="dxa"/>
              <w:start w:w="90" w:type="dxa"/>
              <w:bottom w:w="80" w:type="dxa"/>
              <w:end w:w="90" w:type="dxa"/>
            </w:tcMar>
            <w:vAlign w:val="top"/>
          </w:tcPr>
          <w:p>
            <w:pPr>
              <w:spacing w:after="0" w:line="240" w:lineRule="auto"/>
            </w:pPr>
            <w:r>
              <w:rPr>
                <w:rFonts w:ascii="Arial" w:hAnsi="Arial"/>
                <w:sz w:val="16"/>
              </w:rPr>
              <w:t>The report cannot determine whether preventive measures were attempted.</w:t>
            </w:r>
          </w:p>
        </w:tc>
      </w:tr>
      <w:tr>
        <w:trPr>
          <w:cantSplit/>
        </w:trPr>
        <w:tc>
          <w:tcPr>
            <w:tcW w:type="dxa" w:w="2088"/>
            <w:tcMar>
              <w:top w:w="80" w:type="dxa"/>
              <w:start w:w="90" w:type="dxa"/>
              <w:bottom w:w="80" w:type="dxa"/>
              <w:end w:w="90" w:type="dxa"/>
            </w:tcMar>
            <w:vAlign w:val="top"/>
          </w:tcPr>
          <w:p>
            <w:pPr>
              <w:spacing w:after="0" w:line="240" w:lineRule="auto"/>
            </w:pPr>
            <w:r>
              <w:rPr>
                <w:rFonts w:ascii="Arial" w:hAnsi="Arial"/>
                <w:sz w:val="16"/>
              </w:rPr>
              <w:t>No enclosure inventory</w:t>
            </w:r>
          </w:p>
        </w:tc>
        <w:tc>
          <w:tcPr>
            <w:tcW w:type="dxa" w:w="3816"/>
            <w:tcMar>
              <w:top w:w="80" w:type="dxa"/>
              <w:start w:w="90" w:type="dxa"/>
              <w:bottom w:w="80" w:type="dxa"/>
              <w:end w:w="90" w:type="dxa"/>
            </w:tcMar>
            <w:vAlign w:val="top"/>
          </w:tcPr>
          <w:p>
            <w:pPr>
              <w:spacing w:after="0" w:line="240" w:lineRule="auto"/>
            </w:pPr>
            <w:r>
              <w:rPr>
                <w:rFonts w:ascii="Arial" w:hAnsi="Arial"/>
                <w:sz w:val="16"/>
              </w:rPr>
              <w:t>The letter states four CDs were enclosed, but no receipt list, serial description, return record or storage record is included.</w:t>
            </w:r>
          </w:p>
        </w:tc>
        <w:tc>
          <w:tcPr>
            <w:tcW w:type="dxa" w:w="3672"/>
            <w:tcMar>
              <w:top w:w="80" w:type="dxa"/>
              <w:start w:w="90" w:type="dxa"/>
              <w:bottom w:w="80" w:type="dxa"/>
              <w:end w:w="90" w:type="dxa"/>
            </w:tcMar>
            <w:vAlign w:val="top"/>
          </w:tcPr>
          <w:p>
            <w:pPr>
              <w:spacing w:after="0" w:line="240" w:lineRule="auto"/>
            </w:pPr>
            <w:r>
              <w:rPr>
                <w:rFonts w:ascii="Arial" w:hAnsi="Arial"/>
                <w:sz w:val="16"/>
              </w:rPr>
              <w:t>Actual receipt, preservation and review of the evidence carriers remain unverified.</w:t>
            </w:r>
          </w:p>
        </w:tc>
      </w:tr>
      <w:tr>
        <w:trPr>
          <w:cantSplit/>
        </w:trPr>
        <w:tc>
          <w:tcPr>
            <w:tcW w:type="dxa" w:w="2088"/>
            <w:tcMar>
              <w:top w:w="80" w:type="dxa"/>
              <w:start w:w="90" w:type="dxa"/>
              <w:bottom w:w="80" w:type="dxa"/>
              <w:end w:w="90" w:type="dxa"/>
            </w:tcMar>
            <w:vAlign w:val="top"/>
          </w:tcPr>
          <w:p>
            <w:pPr>
              <w:spacing w:after="0" w:line="240" w:lineRule="auto"/>
            </w:pPr>
            <w:r>
              <w:rPr>
                <w:rFonts w:ascii="Arial" w:hAnsi="Arial"/>
                <w:sz w:val="16"/>
              </w:rPr>
              <w:t>No medical corroboration</w:t>
            </w:r>
          </w:p>
        </w:tc>
        <w:tc>
          <w:tcPr>
            <w:tcW w:type="dxa" w:w="3816"/>
            <w:tcMar>
              <w:top w:w="80" w:type="dxa"/>
              <w:start w:w="90" w:type="dxa"/>
              <w:bottom w:w="80" w:type="dxa"/>
              <w:end w:w="90" w:type="dxa"/>
            </w:tcMar>
            <w:vAlign w:val="top"/>
          </w:tcPr>
          <w:p>
            <w:pPr>
              <w:spacing w:after="0" w:line="240" w:lineRule="auto"/>
            </w:pPr>
            <w:r>
              <w:rPr>
                <w:rFonts w:ascii="Arial" w:hAnsi="Arial"/>
                <w:sz w:val="16"/>
              </w:rPr>
              <w:t>No doctor-issued medical records accompany D1.</w:t>
            </w:r>
          </w:p>
        </w:tc>
        <w:tc>
          <w:tcPr>
            <w:tcW w:type="dxa" w:w="3672"/>
            <w:tcMar>
              <w:top w:w="80" w:type="dxa"/>
              <w:start w:w="90" w:type="dxa"/>
              <w:bottom w:w="80" w:type="dxa"/>
              <w:end w:w="90" w:type="dxa"/>
            </w:tcMar>
            <w:vAlign w:val="top"/>
          </w:tcPr>
          <w:p>
            <w:pPr>
              <w:spacing w:after="0" w:line="240" w:lineRule="auto"/>
            </w:pPr>
            <w:r>
              <w:rPr>
                <w:rFonts w:ascii="Arial" w:hAnsi="Arial"/>
                <w:sz w:val="16"/>
              </w:rPr>
              <w:t>The listed illnesses remain self-reported within this source.</w:t>
            </w:r>
          </w:p>
        </w:tc>
      </w:tr>
      <w:tr>
        <w:trPr>
          <w:cantSplit/>
        </w:trPr>
        <w:tc>
          <w:tcPr>
            <w:tcW w:type="dxa" w:w="2088"/>
            <w:tcMar>
              <w:top w:w="80" w:type="dxa"/>
              <w:start w:w="90" w:type="dxa"/>
              <w:bottom w:w="80" w:type="dxa"/>
              <w:end w:w="90" w:type="dxa"/>
            </w:tcMar>
            <w:vAlign w:val="top"/>
          </w:tcPr>
          <w:p>
            <w:pPr>
              <w:spacing w:after="0" w:line="240" w:lineRule="auto"/>
            </w:pPr>
            <w:r>
              <w:rPr>
                <w:rFonts w:ascii="Arial" w:hAnsi="Arial"/>
                <w:sz w:val="16"/>
              </w:rPr>
              <w:t>No postal envelope or tracking</w:t>
            </w:r>
          </w:p>
        </w:tc>
        <w:tc>
          <w:tcPr>
            <w:tcW w:type="dxa" w:w="3816"/>
            <w:tcMar>
              <w:top w:w="80" w:type="dxa"/>
              <w:start w:w="90" w:type="dxa"/>
              <w:bottom w:w="80" w:type="dxa"/>
              <w:end w:w="90" w:type="dxa"/>
            </w:tcMar>
            <w:vAlign w:val="top"/>
          </w:tcPr>
          <w:p>
            <w:pPr>
              <w:spacing w:after="0" w:line="240" w:lineRule="auto"/>
            </w:pPr>
            <w:r>
              <w:rPr>
                <w:rFonts w:ascii="Arial" w:hAnsi="Arial"/>
                <w:sz w:val="16"/>
              </w:rPr>
              <w:t>The upload contains no envelope, registered-mail receipt or tracking number.</w:t>
            </w:r>
          </w:p>
        </w:tc>
        <w:tc>
          <w:tcPr>
            <w:tcW w:type="dxa" w:w="3672"/>
            <w:tcMar>
              <w:top w:w="80" w:type="dxa"/>
              <w:start w:w="90" w:type="dxa"/>
              <w:bottom w:w="80" w:type="dxa"/>
              <w:end w:w="90" w:type="dxa"/>
            </w:tcMar>
            <w:vAlign w:val="top"/>
          </w:tcPr>
          <w:p>
            <w:pPr>
              <w:spacing w:after="0" w:line="240" w:lineRule="auto"/>
            </w:pPr>
            <w:r>
              <w:rPr>
                <w:rFonts w:ascii="Arial" w:hAnsi="Arial"/>
                <w:sz w:val="16"/>
              </w:rPr>
              <w:t>The incoming stamp proves institutional receipt, but not the transport method.</w:t>
            </w:r>
          </w:p>
        </w:tc>
      </w:tr>
    </w:tbl>
    <w:p>
      <w:pPr>
        <w:spacing w:after="40"/>
      </w:pPr>
    </w:p>
    <w:tbl>
      <w:tblPr>
        <w:tblW w:type="auto" w:w="0"/>
        <w:jc w:val="center"/>
        <w:tblLayout w:type="fixed"/>
        <w:tblLook w:firstColumn="1" w:firstRow="1" w:lastColumn="0" w:lastRow="0" w:noHBand="0" w:noVBand="1" w:val="04A0"/>
        <w:tblBorders>
          <w:top w:val="single" w:sz="2" w:space="0" w:color="FFF2CC"/>
          <w:left w:val="single" w:sz="2" w:space="0" w:color="FFF2CC"/>
          <w:bottom w:val="single" w:sz="2" w:space="0" w:color="FFF2CC"/>
          <w:right w:val="single" w:sz="2" w:space="0" w:color="FFF2CC"/>
          <w:insideH w:val="single" w:sz="2" w:space="0" w:color="FFF2CC"/>
          <w:insideV w:val="single" w:sz="2" w:space="0" w:color="FFF2CC"/>
        </w:tblBorders>
      </w:tblPr>
      <w:tblGrid>
        <w:gridCol w:w="9648"/>
      </w:tblGrid>
      <w:tr>
        <w:tc>
          <w:tcPr>
            <w:tcW w:type="dxa" w:w="9752"/>
            <w:shd w:fill="FFF2CC"/>
            <w:tcMar>
              <w:top w:w="80" w:type="dxa"/>
              <w:start w:w="120" w:type="dxa"/>
              <w:bottom w:w="80" w:type="dxa"/>
              <w:end w:w="120" w:type="dxa"/>
            </w:tcMar>
          </w:tcPr>
          <w:p>
            <w:pPr>
              <w:spacing w:after="0" w:line="252" w:lineRule="auto"/>
            </w:pPr>
            <w:r>
              <w:rPr>
                <w:rFonts w:ascii="Arial" w:hAnsi="Arial"/>
                <w:b/>
                <w:color w:val="17365D"/>
                <w:sz w:val="19"/>
              </w:rPr>
              <w:t xml:space="preserve">IMPORTANT LIMIT: </w:t>
            </w:r>
            <w:r>
              <w:rPr>
                <w:rFonts w:ascii="Arial" w:hAnsi="Arial"/>
                <w:color w:val="000000"/>
                <w:sz w:val="19"/>
              </w:rPr>
              <w:t>The absence of these records from the upload does not prove that the institution failed to act. It proves that the present file is incomplete for determining the institution’s response and legal liability.</w:t>
            </w:r>
          </w:p>
        </w:tc>
      </w:tr>
    </w:tbl>
    <w:p>
      <w:pPr>
        <w:spacing w:after="80" w:before="0"/>
      </w:pPr>
    </w:p>
    <w:p>
      <w:pPr>
        <w:pStyle w:val="Heading1"/>
        <w:keepNext/>
        <w:spacing w:before="200" w:after="80"/>
      </w:pPr>
      <w:r>
        <w:t>9. Evidence-Preservation and Disclosure Requirements</w:t>
      </w:r>
    </w:p>
    <w:p>
      <w:pPr>
        <w:pStyle w:val="ListNumber"/>
        <w:spacing w:after="40" w:line="252" w:lineRule="auto"/>
      </w:pPr>
      <w:r>
        <w:rPr>
          <w:rFonts w:ascii="Arial" w:hAnsi="Arial"/>
          <w:sz w:val="19"/>
        </w:rPr>
        <w:t>The complete incoming-mail register for Raphaels-Werk on 22 April 2009, including any sequential intake number and the identity of the receiving employee.</w:t>
      </w:r>
    </w:p>
    <w:p>
      <w:pPr>
        <w:pStyle w:val="ListNumber"/>
        <w:spacing w:after="40" w:line="252" w:lineRule="auto"/>
      </w:pPr>
      <w:r>
        <w:rPr>
          <w:rFonts w:ascii="Arial" w:hAnsi="Arial"/>
          <w:sz w:val="19"/>
        </w:rPr>
        <w:t>The complete internal file created from the 15 April 2009 letter, including routing slips, handwritten notes, digital entries, telephone notes, email, fax and correspondence.</w:t>
      </w:r>
    </w:p>
    <w:p>
      <w:pPr>
        <w:pStyle w:val="ListNumber"/>
        <w:spacing w:after="40" w:line="252" w:lineRule="auto"/>
      </w:pPr>
      <w:r>
        <w:rPr>
          <w:rFonts w:ascii="Arial" w:hAnsi="Arial"/>
          <w:sz w:val="19"/>
        </w:rPr>
        <w:t>All records showing whether the explicit 15 May 2009 suicide warning was assessed, escalated or referred to a medical, emergency, social, legal, police or other competent body.</w:t>
      </w:r>
    </w:p>
    <w:p>
      <w:pPr>
        <w:pStyle w:val="ListNumber"/>
        <w:spacing w:after="40" w:line="252" w:lineRule="auto"/>
      </w:pPr>
      <w:r>
        <w:rPr>
          <w:rFonts w:ascii="Arial" w:hAnsi="Arial"/>
          <w:sz w:val="19"/>
        </w:rPr>
        <w:t>Any reply or acknowledgment sent to Ismail Rustem, with date, method of transmission and delivery evidence.</w:t>
      </w:r>
    </w:p>
    <w:p>
      <w:pPr>
        <w:pStyle w:val="ListNumber"/>
        <w:spacing w:after="40" w:line="252" w:lineRule="auto"/>
      </w:pPr>
      <w:r>
        <w:rPr>
          <w:rFonts w:ascii="Arial" w:hAnsi="Arial"/>
          <w:sz w:val="19"/>
        </w:rPr>
        <w:t>A complete inventory and handling record for the two video CDs and two document CDs stated to have been enclosed, including whether they were received, copied, reviewed, returned, lost or destroyed.</w:t>
      </w:r>
    </w:p>
    <w:p>
      <w:pPr>
        <w:pStyle w:val="ListNumber"/>
        <w:spacing w:after="40" w:line="252" w:lineRule="auto"/>
      </w:pPr>
      <w:r>
        <w:rPr>
          <w:rFonts w:ascii="Arial" w:hAnsi="Arial"/>
          <w:sz w:val="19"/>
        </w:rPr>
        <w:t>Any retention schedule, destruction record or archive transfer concerning the paper letter and digital or physical evidence carriers.</w:t>
      </w:r>
    </w:p>
    <w:p>
      <w:pPr>
        <w:pStyle w:val="ListNumber"/>
        <w:spacing w:after="40" w:line="252" w:lineRule="auto"/>
      </w:pPr>
      <w:r>
        <w:rPr>
          <w:rFonts w:ascii="Arial" w:hAnsi="Arial"/>
          <w:sz w:val="19"/>
        </w:rPr>
        <w:t>Identification of the meaning and completion status of the “Erled.” field on the incoming stamp.</w:t>
      </w:r>
    </w:p>
    <w:p>
      <w:r>
        <w:br w:type="page"/>
      </w:r>
    </w:p>
    <w:p>
      <w:pPr>
        <w:pStyle w:val="Heading1"/>
        <w:keepNext/>
        <w:spacing w:before="200" w:after="80"/>
      </w:pPr>
      <w:r>
        <w:t>10. Mandatory Legal-Basis and Violation Assessment</w:t>
      </w:r>
    </w:p>
    <w:tbl>
      <w:tblPr>
        <w:tblW w:type="auto" w:w="0"/>
        <w:jc w:val="center"/>
        <w:tblLayout w:type="fixed"/>
        <w:tblLook w:firstColumn="1" w:firstRow="1" w:lastColumn="0" w:lastRow="0" w:noHBand="0" w:noVBand="1" w:val="04A0"/>
        <w:tblBorders>
          <w:top w:val="single" w:sz="2" w:space="0" w:color="EAF2F8"/>
          <w:left w:val="single" w:sz="2" w:space="0" w:color="EAF2F8"/>
          <w:bottom w:val="single" w:sz="2" w:space="0" w:color="EAF2F8"/>
          <w:right w:val="single" w:sz="2" w:space="0" w:color="EAF2F8"/>
          <w:insideH w:val="single" w:sz="2" w:space="0" w:color="EAF2F8"/>
          <w:insideV w:val="single" w:sz="2" w:space="0" w:color="EAF2F8"/>
        </w:tblBorders>
      </w:tblPr>
      <w:tblGrid>
        <w:gridCol w:w="9648"/>
      </w:tblGrid>
      <w:tr>
        <w:tc>
          <w:tcPr>
            <w:tcW w:type="dxa" w:w="9752"/>
            <w:shd w:fill="EAF2F8"/>
            <w:tcMar>
              <w:top w:w="80" w:type="dxa"/>
              <w:start w:w="120" w:type="dxa"/>
              <w:bottom w:w="80" w:type="dxa"/>
              <w:end w:w="120" w:type="dxa"/>
            </w:tcMar>
          </w:tcPr>
          <w:p>
            <w:pPr>
              <w:spacing w:after="0" w:line="252" w:lineRule="auto"/>
            </w:pPr>
            <w:r>
              <w:rPr>
                <w:rFonts w:ascii="Arial" w:hAnsi="Arial"/>
                <w:b/>
                <w:color w:val="17365D"/>
                <w:sz w:val="19"/>
              </w:rPr>
              <w:t xml:space="preserve">LEGAL METHOD: </w:t>
            </w:r>
            <w:r>
              <w:rPr>
                <w:rFonts w:ascii="Arial" w:hAnsi="Arial"/>
                <w:color w:val="000000"/>
                <w:sz w:val="19"/>
              </w:rPr>
              <w:t>International human-rights treaties bind States. They do not ordinarily create direct treaty liability for a private recipient organisation. German criminal and civil liability of a private organisation or its staff requires proof of a legal duty, conduct or omission, fault, causation and the statutory elements. D1 proves notice; it does not contain the recipient’s response record.</w:t>
            </w:r>
          </w:p>
        </w:tc>
      </w:tr>
    </w:tbl>
    <w:p>
      <w:pPr>
        <w:spacing w:after="80" w:before="0"/>
      </w:pPr>
    </w:p>
    <w:p>
      <w:pPr>
        <w:spacing w:after="100" w:line="259" w:lineRule="auto"/>
      </w:pPr>
      <w:r>
        <w:rPr>
          <w:rFonts w:ascii="Arial" w:hAnsi="Arial"/>
          <w:i w:val="0"/>
          <w:sz w:val="20"/>
        </w:rPr>
        <w:t>Accordingly, the legal assessment below distinguishes: (a) rights and duties directly engaged by the documented warning; (b) underlying violations alleged in the letter but not independently proven by D1; and (c) recipient liability that cannot be marked Documentarily Verified without further records.</w:t>
      </w:r>
    </w:p>
    <w:p>
      <w:pPr>
        <w:pStyle w:val="Heading2"/>
        <w:keepNext/>
        <w:spacing w:before="120" w:after="80"/>
      </w:pPr>
      <w:r>
        <w:t>10.1 European Convention on Human Rights</w:t>
      </w:r>
    </w:p>
    <w:tbl>
      <w:tblPr>
        <w:tblW w:type="auto" w:w="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3251"/>
        <w:gridCol w:w="3251"/>
        <w:gridCol w:w="3251"/>
      </w:tblGrid>
      <w:tr>
        <w:trPr>
          <w:tblHeader w:val="true"/>
          <w:cantSplit/>
        </w:trPr>
        <w:tc>
          <w:tcPr>
            <w:tcW w:type="dxa" w:w="1872"/>
            <w:shd w:fill="17365D"/>
            <w:tcMar>
              <w:top w:w="80" w:type="dxa"/>
              <w:start w:w="90" w:type="dxa"/>
              <w:bottom w:w="80" w:type="dxa"/>
              <w:end w:w="90" w:type="dxa"/>
            </w:tcMar>
            <w:vAlign w:val="center"/>
          </w:tcPr>
          <w:p>
            <w:pPr>
              <w:spacing w:after="0"/>
              <w:jc w:val="left"/>
            </w:pPr>
            <w:r>
              <w:rPr>
                <w:rFonts w:ascii="Arial" w:hAnsi="Arial"/>
                <w:b/>
                <w:color w:val="FFFFFF"/>
                <w:sz w:val="17"/>
              </w:rPr>
              <w:t>Provision</w:t>
            </w:r>
          </w:p>
        </w:tc>
        <w:tc>
          <w:tcPr>
            <w:tcW w:type="dxa" w:w="4464"/>
            <w:shd w:fill="17365D"/>
            <w:tcMar>
              <w:top w:w="80" w:type="dxa"/>
              <w:start w:w="90" w:type="dxa"/>
              <w:bottom w:w="80" w:type="dxa"/>
              <w:end w:w="90" w:type="dxa"/>
            </w:tcMar>
            <w:vAlign w:val="center"/>
          </w:tcPr>
          <w:p>
            <w:pPr>
              <w:spacing w:after="0"/>
              <w:jc w:val="left"/>
            </w:pPr>
            <w:r>
              <w:rPr>
                <w:rFonts w:ascii="Arial" w:hAnsi="Arial"/>
                <w:b/>
                <w:color w:val="FFFFFF"/>
                <w:sz w:val="17"/>
              </w:rPr>
              <w:t>Connection to D1</w:t>
            </w:r>
          </w:p>
        </w:tc>
        <w:tc>
          <w:tcPr>
            <w:tcW w:type="dxa" w:w="3240"/>
            <w:shd w:fill="17365D"/>
            <w:tcMar>
              <w:top w:w="80" w:type="dxa"/>
              <w:start w:w="90" w:type="dxa"/>
              <w:bottom w:w="80" w:type="dxa"/>
              <w:end w:w="90" w:type="dxa"/>
            </w:tcMar>
            <w:vAlign w:val="center"/>
          </w:tcPr>
          <w:p>
            <w:pPr>
              <w:spacing w:after="0"/>
              <w:jc w:val="left"/>
            </w:pPr>
            <w:r>
              <w:rPr>
                <w:rFonts w:ascii="Arial" w:hAnsi="Arial"/>
                <w:b/>
                <w:color w:val="FFFFFF"/>
                <w:sz w:val="17"/>
              </w:rPr>
              <w:t>Assessment</w:t>
            </w:r>
          </w:p>
        </w:tc>
      </w:tr>
      <w:tr>
        <w:trPr>
          <w:cantSplit/>
        </w:trPr>
        <w:tc>
          <w:tcPr>
            <w:tcW w:type="dxa" w:w="1872"/>
            <w:tcMar>
              <w:top w:w="80" w:type="dxa"/>
              <w:start w:w="90" w:type="dxa"/>
              <w:bottom w:w="80" w:type="dxa"/>
              <w:end w:w="90" w:type="dxa"/>
            </w:tcMar>
            <w:vAlign w:val="top"/>
          </w:tcPr>
          <w:p>
            <w:pPr>
              <w:spacing w:after="0" w:line="240" w:lineRule="auto"/>
            </w:pPr>
            <w:r>
              <w:rPr>
                <w:rFonts w:ascii="Arial" w:hAnsi="Arial"/>
                <w:sz w:val="15"/>
              </w:rPr>
              <w:t>Article 2 - Right to life</w:t>
            </w:r>
          </w:p>
        </w:tc>
        <w:tc>
          <w:tcPr>
            <w:tcW w:type="dxa" w:w="4464"/>
            <w:tcMar>
              <w:top w:w="80" w:type="dxa"/>
              <w:start w:w="90" w:type="dxa"/>
              <w:bottom w:w="80" w:type="dxa"/>
              <w:end w:w="90" w:type="dxa"/>
            </w:tcMar>
            <w:vAlign w:val="top"/>
          </w:tcPr>
          <w:p>
            <w:pPr>
              <w:spacing w:after="0" w:line="240" w:lineRule="auto"/>
            </w:pPr>
            <w:r>
              <w:rPr>
                <w:rFonts w:ascii="Arial" w:hAnsi="Arial"/>
                <w:sz w:val="15"/>
              </w:rPr>
              <w:t>The letter contains a specific suicide date, serious distress, self-reported severe illness and a request for urgent help. These are legally relevant indicators of a potentially real and immediate risk. Under ECtHR doctrine, competent State authorities that know or ought to know of such a risk must take reasonable preventive measures within their powers.</w:t>
            </w:r>
          </w:p>
        </w:tc>
        <w:tc>
          <w:tcPr>
            <w:tcW w:type="dxa" w:w="3240"/>
            <w:tcMar>
              <w:top w:w="80" w:type="dxa"/>
              <w:start w:w="90" w:type="dxa"/>
              <w:bottom w:w="80" w:type="dxa"/>
              <w:end w:w="90" w:type="dxa"/>
            </w:tcMar>
            <w:vAlign w:val="top"/>
          </w:tcPr>
          <w:p>
            <w:pPr>
              <w:spacing w:after="0" w:line="240" w:lineRule="auto"/>
            </w:pPr>
            <w:r>
              <w:rPr>
                <w:rFonts w:ascii="Arial" w:hAnsi="Arial"/>
                <w:sz w:val="15"/>
              </w:rPr>
              <w:t>DOCUMENTARILY VERIFIED risk notice to Raphaels-Werk. State knowledge, State attribution and failure to take reasonable measures are not established by D1 alone.</w:t>
            </w:r>
          </w:p>
        </w:tc>
      </w:tr>
      <w:tr>
        <w:trPr>
          <w:cantSplit/>
        </w:trPr>
        <w:tc>
          <w:tcPr>
            <w:tcW w:type="dxa" w:w="1872"/>
            <w:tcMar>
              <w:top w:w="80" w:type="dxa"/>
              <w:start w:w="90" w:type="dxa"/>
              <w:bottom w:w="80" w:type="dxa"/>
              <w:end w:w="90" w:type="dxa"/>
            </w:tcMar>
            <w:vAlign w:val="top"/>
          </w:tcPr>
          <w:p>
            <w:pPr>
              <w:spacing w:after="0" w:line="240" w:lineRule="auto"/>
            </w:pPr>
            <w:r>
              <w:rPr>
                <w:rFonts w:ascii="Arial" w:hAnsi="Arial"/>
                <w:sz w:val="15"/>
              </w:rPr>
              <w:t>Article 3 - Prohibition of torture and inhuman or degrading treatment</w:t>
            </w:r>
          </w:p>
        </w:tc>
        <w:tc>
          <w:tcPr>
            <w:tcW w:type="dxa" w:w="4464"/>
            <w:tcMar>
              <w:top w:w="80" w:type="dxa"/>
              <w:start w:w="90" w:type="dxa"/>
              <w:bottom w:w="80" w:type="dxa"/>
              <w:end w:w="90" w:type="dxa"/>
            </w:tcMar>
            <w:vAlign w:val="top"/>
          </w:tcPr>
          <w:p>
            <w:pPr>
              <w:spacing w:after="0" w:line="240" w:lineRule="auto"/>
            </w:pPr>
            <w:r>
              <w:rPr>
                <w:rFonts w:ascii="Arial" w:hAnsi="Arial"/>
                <w:sz w:val="15"/>
              </w:rPr>
              <w:t>The letter alleges prolonged inhuman treatment, psychiatric misuse and concealment by justice authorities.</w:t>
            </w:r>
          </w:p>
        </w:tc>
        <w:tc>
          <w:tcPr>
            <w:tcW w:type="dxa" w:w="3240"/>
            <w:tcMar>
              <w:top w:w="80" w:type="dxa"/>
              <w:start w:w="90" w:type="dxa"/>
              <w:bottom w:w="80" w:type="dxa"/>
              <w:end w:w="90" w:type="dxa"/>
            </w:tcMar>
            <w:vAlign w:val="top"/>
          </w:tcPr>
          <w:p>
            <w:pPr>
              <w:spacing w:after="0" w:line="240" w:lineRule="auto"/>
            </w:pPr>
            <w:r>
              <w:rPr>
                <w:rFonts w:ascii="Arial" w:hAnsi="Arial"/>
                <w:sz w:val="15"/>
              </w:rPr>
              <w:t>The allegation and notice are documentarily verified as content. The underlying ill-treatment and any failure to investigate are not independently proven by D1.</w:t>
            </w:r>
          </w:p>
        </w:tc>
      </w:tr>
      <w:tr>
        <w:trPr>
          <w:cantSplit/>
        </w:trPr>
        <w:tc>
          <w:tcPr>
            <w:tcW w:type="dxa" w:w="1872"/>
            <w:tcMar>
              <w:top w:w="80" w:type="dxa"/>
              <w:start w:w="90" w:type="dxa"/>
              <w:bottom w:w="80" w:type="dxa"/>
              <w:end w:w="90" w:type="dxa"/>
            </w:tcMar>
            <w:vAlign w:val="top"/>
          </w:tcPr>
          <w:p>
            <w:pPr>
              <w:spacing w:after="0" w:line="240" w:lineRule="auto"/>
            </w:pPr>
            <w:r>
              <w:rPr>
                <w:rFonts w:ascii="Arial" w:hAnsi="Arial"/>
                <w:sz w:val="15"/>
              </w:rPr>
              <w:t>Article 8 - Private life and physical/psychological integrity</w:t>
            </w:r>
          </w:p>
        </w:tc>
        <w:tc>
          <w:tcPr>
            <w:tcW w:type="dxa" w:w="4464"/>
            <w:tcMar>
              <w:top w:w="80" w:type="dxa"/>
              <w:start w:w="90" w:type="dxa"/>
              <w:bottom w:w="80" w:type="dxa"/>
              <w:end w:w="90" w:type="dxa"/>
            </w:tcMar>
            <w:vAlign w:val="top"/>
          </w:tcPr>
          <w:p>
            <w:pPr>
              <w:spacing w:after="0" w:line="240" w:lineRule="auto"/>
            </w:pPr>
            <w:r>
              <w:rPr>
                <w:rFonts w:ascii="Arial" w:hAnsi="Arial"/>
                <w:sz w:val="15"/>
              </w:rPr>
              <w:t>The requests for an independent health assessment and protection of physical and psychological integrity fall within the interests protected by Article 8.</w:t>
            </w:r>
          </w:p>
        </w:tc>
        <w:tc>
          <w:tcPr>
            <w:tcW w:type="dxa" w:w="3240"/>
            <w:tcMar>
              <w:top w:w="80" w:type="dxa"/>
              <w:start w:w="90" w:type="dxa"/>
              <w:bottom w:w="80" w:type="dxa"/>
              <w:end w:w="90" w:type="dxa"/>
            </w:tcMar>
            <w:vAlign w:val="top"/>
          </w:tcPr>
          <w:p>
            <w:pPr>
              <w:spacing w:after="0" w:line="240" w:lineRule="auto"/>
            </w:pPr>
            <w:r>
              <w:rPr>
                <w:rFonts w:ascii="Arial" w:hAnsi="Arial"/>
                <w:sz w:val="15"/>
              </w:rPr>
              <w:t>Right engaged by the subject matter. No violation by Raphaels-Werk is established from the current source.</w:t>
            </w:r>
          </w:p>
        </w:tc>
      </w:tr>
      <w:tr>
        <w:trPr>
          <w:cantSplit/>
        </w:trPr>
        <w:tc>
          <w:tcPr>
            <w:tcW w:type="dxa" w:w="1872"/>
            <w:tcMar>
              <w:top w:w="80" w:type="dxa"/>
              <w:start w:w="90" w:type="dxa"/>
              <w:bottom w:w="80" w:type="dxa"/>
              <w:end w:w="90" w:type="dxa"/>
            </w:tcMar>
            <w:vAlign w:val="top"/>
          </w:tcPr>
          <w:p>
            <w:pPr>
              <w:spacing w:after="0" w:line="240" w:lineRule="auto"/>
            </w:pPr>
            <w:r>
              <w:rPr>
                <w:rFonts w:ascii="Arial" w:hAnsi="Arial"/>
                <w:sz w:val="15"/>
              </w:rPr>
              <w:t>Article 13 - Effective remedy</w:t>
            </w:r>
          </w:p>
        </w:tc>
        <w:tc>
          <w:tcPr>
            <w:tcW w:type="dxa" w:w="4464"/>
            <w:tcMar>
              <w:top w:w="80" w:type="dxa"/>
              <w:start w:w="90" w:type="dxa"/>
              <w:bottom w:w="80" w:type="dxa"/>
              <w:end w:w="90" w:type="dxa"/>
            </w:tcMar>
            <w:vAlign w:val="top"/>
          </w:tcPr>
          <w:p>
            <w:pPr>
              <w:spacing w:after="0" w:line="240" w:lineRule="auto"/>
            </w:pPr>
            <w:r>
              <w:rPr>
                <w:rFonts w:ascii="Arial" w:hAnsi="Arial"/>
                <w:sz w:val="15"/>
              </w:rPr>
              <w:t>The letter states that effective judicial and evidentiary examination was unavailable and requests neutral expert review.</w:t>
            </w:r>
          </w:p>
        </w:tc>
        <w:tc>
          <w:tcPr>
            <w:tcW w:type="dxa" w:w="3240"/>
            <w:tcMar>
              <w:top w:w="80" w:type="dxa"/>
              <w:start w:w="90" w:type="dxa"/>
              <w:bottom w:w="80" w:type="dxa"/>
              <w:end w:w="90" w:type="dxa"/>
            </w:tcMar>
            <w:vAlign w:val="top"/>
          </w:tcPr>
          <w:p>
            <w:pPr>
              <w:spacing w:after="0" w:line="240" w:lineRule="auto"/>
            </w:pPr>
            <w:r>
              <w:rPr>
                <w:rFonts w:ascii="Arial" w:hAnsi="Arial"/>
                <w:sz w:val="15"/>
              </w:rPr>
              <w:t>The request and allegation are documentarily verified. The adequacy of domestic remedies cannot be determined from D1 alone.</w:t>
            </w:r>
          </w:p>
        </w:tc>
      </w:tr>
      <w:tr>
        <w:trPr>
          <w:cantSplit/>
        </w:trPr>
        <w:tc>
          <w:tcPr>
            <w:tcW w:type="dxa" w:w="1872"/>
            <w:tcMar>
              <w:top w:w="80" w:type="dxa"/>
              <w:start w:w="90" w:type="dxa"/>
              <w:bottom w:w="80" w:type="dxa"/>
              <w:end w:w="90" w:type="dxa"/>
            </w:tcMar>
            <w:vAlign w:val="top"/>
          </w:tcPr>
          <w:p>
            <w:pPr>
              <w:spacing w:after="0" w:line="240" w:lineRule="auto"/>
            </w:pPr>
            <w:r>
              <w:rPr>
                <w:rFonts w:ascii="Arial" w:hAnsi="Arial"/>
                <w:sz w:val="15"/>
              </w:rPr>
              <w:t>Article 14 - Non-discrimination</w:t>
            </w:r>
          </w:p>
        </w:tc>
        <w:tc>
          <w:tcPr>
            <w:tcW w:type="dxa" w:w="4464"/>
            <w:tcMar>
              <w:top w:w="80" w:type="dxa"/>
              <w:start w:w="90" w:type="dxa"/>
              <w:bottom w:w="80" w:type="dxa"/>
              <w:end w:w="90" w:type="dxa"/>
            </w:tcMar>
            <w:vAlign w:val="top"/>
          </w:tcPr>
          <w:p>
            <w:pPr>
              <w:spacing w:after="0" w:line="240" w:lineRule="auto"/>
            </w:pPr>
            <w:r>
              <w:rPr>
                <w:rFonts w:ascii="Arial" w:hAnsi="Arial"/>
                <w:sz w:val="15"/>
              </w:rPr>
              <w:t>Could apply if differential treatment was linked to origin, disability, illness, language, political opinion or another protected status.</w:t>
            </w:r>
          </w:p>
        </w:tc>
        <w:tc>
          <w:tcPr>
            <w:tcW w:type="dxa" w:w="3240"/>
            <w:tcMar>
              <w:top w:w="80" w:type="dxa"/>
              <w:start w:w="90" w:type="dxa"/>
              <w:bottom w:w="80" w:type="dxa"/>
              <w:end w:w="90" w:type="dxa"/>
            </w:tcMar>
            <w:vAlign w:val="top"/>
          </w:tcPr>
          <w:p>
            <w:pPr>
              <w:spacing w:after="0" w:line="240" w:lineRule="auto"/>
            </w:pPr>
            <w:r>
              <w:rPr>
                <w:rFonts w:ascii="Arial" w:hAnsi="Arial"/>
                <w:sz w:val="15"/>
              </w:rPr>
              <w:t>No discriminatory comparator, decision or reason is contained in D1; violation not established by this source.</w:t>
            </w:r>
          </w:p>
        </w:tc>
      </w:tr>
    </w:tbl>
    <w:p>
      <w:pPr>
        <w:spacing w:after="40"/>
      </w:pPr>
    </w:p>
    <w:p>
      <w:pPr>
        <w:pStyle w:val="Heading2"/>
        <w:keepNext/>
        <w:spacing w:before="120" w:after="80"/>
      </w:pPr>
      <w:r>
        <w:t>10.2 United Nations Human-Rights Treaties</w:t>
      </w:r>
    </w:p>
    <w:tbl>
      <w:tblPr>
        <w:tblW w:type="auto" w:w="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3251"/>
        <w:gridCol w:w="3251"/>
        <w:gridCol w:w="3251"/>
      </w:tblGrid>
      <w:tr>
        <w:trPr>
          <w:tblHeader w:val="true"/>
          <w:cantSplit/>
        </w:trPr>
        <w:tc>
          <w:tcPr>
            <w:tcW w:type="dxa" w:w="2520"/>
            <w:shd w:fill="17365D"/>
            <w:tcMar>
              <w:top w:w="80" w:type="dxa"/>
              <w:start w:w="90" w:type="dxa"/>
              <w:bottom w:w="80" w:type="dxa"/>
              <w:end w:w="90" w:type="dxa"/>
            </w:tcMar>
            <w:vAlign w:val="center"/>
          </w:tcPr>
          <w:p>
            <w:pPr>
              <w:spacing w:after="0"/>
              <w:jc w:val="left"/>
            </w:pPr>
            <w:r>
              <w:rPr>
                <w:rFonts w:ascii="Arial" w:hAnsi="Arial"/>
                <w:b/>
                <w:color w:val="FFFFFF"/>
                <w:sz w:val="17"/>
              </w:rPr>
              <w:t>Instrument / provision</w:t>
            </w:r>
          </w:p>
        </w:tc>
        <w:tc>
          <w:tcPr>
            <w:tcW w:type="dxa" w:w="4464"/>
            <w:shd w:fill="17365D"/>
            <w:tcMar>
              <w:top w:w="80" w:type="dxa"/>
              <w:start w:w="90" w:type="dxa"/>
              <w:bottom w:w="80" w:type="dxa"/>
              <w:end w:w="90" w:type="dxa"/>
            </w:tcMar>
            <w:vAlign w:val="center"/>
          </w:tcPr>
          <w:p>
            <w:pPr>
              <w:spacing w:after="0"/>
              <w:jc w:val="left"/>
            </w:pPr>
            <w:r>
              <w:rPr>
                <w:rFonts w:ascii="Arial" w:hAnsi="Arial"/>
                <w:b/>
                <w:color w:val="FFFFFF"/>
                <w:sz w:val="17"/>
              </w:rPr>
              <w:t>Legal relevance</w:t>
            </w:r>
          </w:p>
        </w:tc>
        <w:tc>
          <w:tcPr>
            <w:tcW w:type="dxa" w:w="2592"/>
            <w:shd w:fill="17365D"/>
            <w:tcMar>
              <w:top w:w="80" w:type="dxa"/>
              <w:start w:w="90" w:type="dxa"/>
              <w:bottom w:w="80" w:type="dxa"/>
              <w:end w:w="90" w:type="dxa"/>
            </w:tcMar>
            <w:vAlign w:val="center"/>
          </w:tcPr>
          <w:p>
            <w:pPr>
              <w:spacing w:after="0"/>
              <w:jc w:val="left"/>
            </w:pPr>
            <w:r>
              <w:rPr>
                <w:rFonts w:ascii="Arial" w:hAnsi="Arial"/>
                <w:b/>
                <w:color w:val="FFFFFF"/>
                <w:sz w:val="17"/>
              </w:rPr>
              <w:t>Evidence status</w:t>
            </w:r>
          </w:p>
        </w:tc>
      </w:tr>
      <w:tr>
        <w:trPr>
          <w:cantSplit/>
        </w:trPr>
        <w:tc>
          <w:tcPr>
            <w:tcW w:type="dxa" w:w="2520"/>
            <w:tcMar>
              <w:top w:w="80" w:type="dxa"/>
              <w:start w:w="90" w:type="dxa"/>
              <w:bottom w:w="80" w:type="dxa"/>
              <w:end w:w="90" w:type="dxa"/>
            </w:tcMar>
            <w:vAlign w:val="top"/>
          </w:tcPr>
          <w:p>
            <w:pPr>
              <w:spacing w:after="0" w:line="240" w:lineRule="auto"/>
            </w:pPr>
            <w:r>
              <w:rPr>
                <w:rFonts w:ascii="Arial" w:hAnsi="Arial"/>
                <w:sz w:val="15"/>
              </w:rPr>
              <w:t>ICCPR Articles 6 and 2(3)</w:t>
            </w:r>
          </w:p>
        </w:tc>
        <w:tc>
          <w:tcPr>
            <w:tcW w:type="dxa" w:w="4464"/>
            <w:tcMar>
              <w:top w:w="80" w:type="dxa"/>
              <w:start w:w="90" w:type="dxa"/>
              <w:bottom w:w="80" w:type="dxa"/>
              <w:end w:w="90" w:type="dxa"/>
            </w:tcMar>
            <w:vAlign w:val="top"/>
          </w:tcPr>
          <w:p>
            <w:pPr>
              <w:spacing w:after="0" w:line="240" w:lineRule="auto"/>
            </w:pPr>
            <w:r>
              <w:rPr>
                <w:rFonts w:ascii="Arial" w:hAnsi="Arial"/>
                <w:sz w:val="15"/>
              </w:rPr>
              <w:t>Right to life and effective remedy. The fixed suicide date and request for help make life protection and remedy legally central.</w:t>
            </w:r>
          </w:p>
        </w:tc>
        <w:tc>
          <w:tcPr>
            <w:tcW w:type="dxa" w:w="2592"/>
            <w:tcMar>
              <w:top w:w="80" w:type="dxa"/>
              <w:start w:w="90" w:type="dxa"/>
              <w:bottom w:w="80" w:type="dxa"/>
              <w:end w:w="90" w:type="dxa"/>
            </w:tcMar>
            <w:vAlign w:val="top"/>
          </w:tcPr>
          <w:p>
            <w:pPr>
              <w:spacing w:after="0" w:line="240" w:lineRule="auto"/>
            </w:pPr>
            <w:r>
              <w:rPr>
                <w:rFonts w:ascii="Arial" w:hAnsi="Arial"/>
                <w:sz w:val="15"/>
              </w:rPr>
              <w:t>Risk notice and request are proven; State violation requires proof of competent State knowledge and inadequate response.</w:t>
            </w:r>
          </w:p>
        </w:tc>
      </w:tr>
      <w:tr>
        <w:trPr>
          <w:cantSplit/>
        </w:trPr>
        <w:tc>
          <w:tcPr>
            <w:tcW w:type="dxa" w:w="2520"/>
            <w:tcMar>
              <w:top w:w="80" w:type="dxa"/>
              <w:start w:w="90" w:type="dxa"/>
              <w:bottom w:w="80" w:type="dxa"/>
              <w:end w:w="90" w:type="dxa"/>
            </w:tcMar>
            <w:vAlign w:val="top"/>
          </w:tcPr>
          <w:p>
            <w:pPr>
              <w:spacing w:after="0" w:line="240" w:lineRule="auto"/>
            </w:pPr>
            <w:r>
              <w:rPr>
                <w:rFonts w:ascii="Arial" w:hAnsi="Arial"/>
                <w:sz w:val="15"/>
              </w:rPr>
              <w:t>ICCPR Article 7</w:t>
            </w:r>
          </w:p>
        </w:tc>
        <w:tc>
          <w:tcPr>
            <w:tcW w:type="dxa" w:w="4464"/>
            <w:tcMar>
              <w:top w:w="80" w:type="dxa"/>
              <w:start w:w="90" w:type="dxa"/>
              <w:bottom w:w="80" w:type="dxa"/>
              <w:end w:w="90" w:type="dxa"/>
            </w:tcMar>
            <w:vAlign w:val="top"/>
          </w:tcPr>
          <w:p>
            <w:pPr>
              <w:spacing w:after="0" w:line="240" w:lineRule="auto"/>
            </w:pPr>
            <w:r>
              <w:rPr>
                <w:rFonts w:ascii="Arial" w:hAnsi="Arial"/>
                <w:sz w:val="15"/>
              </w:rPr>
              <w:t>Prohibits torture and cruel, inhuman or degrading treatment.</w:t>
            </w:r>
          </w:p>
        </w:tc>
        <w:tc>
          <w:tcPr>
            <w:tcW w:type="dxa" w:w="2592"/>
            <w:tcMar>
              <w:top w:w="80" w:type="dxa"/>
              <w:start w:w="90" w:type="dxa"/>
              <w:bottom w:w="80" w:type="dxa"/>
              <w:end w:w="90" w:type="dxa"/>
            </w:tcMar>
            <w:vAlign w:val="top"/>
          </w:tcPr>
          <w:p>
            <w:pPr>
              <w:spacing w:after="0" w:line="240" w:lineRule="auto"/>
            </w:pPr>
            <w:r>
              <w:rPr>
                <w:rFonts w:ascii="Arial" w:hAnsi="Arial"/>
                <w:sz w:val="15"/>
              </w:rPr>
              <w:t>Underlying mistreatment is alleged, not independently proven by D1.</w:t>
            </w:r>
          </w:p>
        </w:tc>
      </w:tr>
      <w:tr>
        <w:trPr>
          <w:cantSplit/>
        </w:trPr>
        <w:tc>
          <w:tcPr>
            <w:tcW w:type="dxa" w:w="2520"/>
            <w:tcMar>
              <w:top w:w="80" w:type="dxa"/>
              <w:start w:w="90" w:type="dxa"/>
              <w:bottom w:w="80" w:type="dxa"/>
              <w:end w:w="90" w:type="dxa"/>
            </w:tcMar>
            <w:vAlign w:val="top"/>
          </w:tcPr>
          <w:p>
            <w:pPr>
              <w:spacing w:after="0" w:line="240" w:lineRule="auto"/>
            </w:pPr>
            <w:r>
              <w:rPr>
                <w:rFonts w:ascii="Arial" w:hAnsi="Arial"/>
                <w:sz w:val="15"/>
              </w:rPr>
              <w:t>ICESCR Articles 11 and 12</w:t>
            </w:r>
          </w:p>
        </w:tc>
        <w:tc>
          <w:tcPr>
            <w:tcW w:type="dxa" w:w="4464"/>
            <w:tcMar>
              <w:top w:w="80" w:type="dxa"/>
              <w:start w:w="90" w:type="dxa"/>
              <w:bottom w:w="80" w:type="dxa"/>
              <w:end w:w="90" w:type="dxa"/>
            </w:tcMar>
            <w:vAlign w:val="top"/>
          </w:tcPr>
          <w:p>
            <w:pPr>
              <w:spacing w:after="0" w:line="240" w:lineRule="auto"/>
            </w:pPr>
            <w:r>
              <w:rPr>
                <w:rFonts w:ascii="Arial" w:hAnsi="Arial"/>
                <w:sz w:val="15"/>
              </w:rPr>
              <w:t>Adequate living conditions and the highest attainable standard of physical and mental health, including medical service in sickness.</w:t>
            </w:r>
          </w:p>
        </w:tc>
        <w:tc>
          <w:tcPr>
            <w:tcW w:type="dxa" w:w="2592"/>
            <w:tcMar>
              <w:top w:w="80" w:type="dxa"/>
              <w:start w:w="90" w:type="dxa"/>
              <w:bottom w:w="80" w:type="dxa"/>
              <w:end w:w="90" w:type="dxa"/>
            </w:tcMar>
            <w:vAlign w:val="top"/>
          </w:tcPr>
          <w:p>
            <w:pPr>
              <w:spacing w:after="0" w:line="240" w:lineRule="auto"/>
            </w:pPr>
            <w:r>
              <w:rPr>
                <w:rFonts w:ascii="Arial" w:hAnsi="Arial"/>
                <w:sz w:val="15"/>
              </w:rPr>
              <w:t>The letter records severe health claims and a request for examination. Actual denial of care is alleged, not proven by this source.</w:t>
            </w:r>
          </w:p>
        </w:tc>
      </w:tr>
      <w:tr>
        <w:trPr>
          <w:cantSplit/>
        </w:trPr>
        <w:tc>
          <w:tcPr>
            <w:tcW w:type="dxa" w:w="2520"/>
            <w:tcMar>
              <w:top w:w="80" w:type="dxa"/>
              <w:start w:w="90" w:type="dxa"/>
              <w:bottom w:w="80" w:type="dxa"/>
              <w:end w:w="90" w:type="dxa"/>
            </w:tcMar>
            <w:vAlign w:val="top"/>
          </w:tcPr>
          <w:p>
            <w:pPr>
              <w:spacing w:after="0" w:line="240" w:lineRule="auto"/>
            </w:pPr>
            <w:r>
              <w:rPr>
                <w:rFonts w:ascii="Arial" w:hAnsi="Arial"/>
                <w:sz w:val="15"/>
              </w:rPr>
              <w:t>CRPD Articles 10, 13, 15, 17, 25 and 28</w:t>
            </w:r>
          </w:p>
        </w:tc>
        <w:tc>
          <w:tcPr>
            <w:tcW w:type="dxa" w:w="4464"/>
            <w:tcMar>
              <w:top w:w="80" w:type="dxa"/>
              <w:start w:w="90" w:type="dxa"/>
              <w:bottom w:w="80" w:type="dxa"/>
              <w:end w:w="90" w:type="dxa"/>
            </w:tcMar>
            <w:vAlign w:val="top"/>
          </w:tcPr>
          <w:p>
            <w:pPr>
              <w:spacing w:after="0" w:line="240" w:lineRule="auto"/>
            </w:pPr>
            <w:r>
              <w:rPr>
                <w:rFonts w:ascii="Arial" w:hAnsi="Arial"/>
                <w:sz w:val="15"/>
              </w:rPr>
              <w:t>Life, access to justice, freedom from ill-treatment, integrity, health and social protection for persons with disabilities.</w:t>
            </w:r>
          </w:p>
        </w:tc>
        <w:tc>
          <w:tcPr>
            <w:tcW w:type="dxa" w:w="2592"/>
            <w:tcMar>
              <w:top w:w="80" w:type="dxa"/>
              <w:start w:w="90" w:type="dxa"/>
              <w:bottom w:w="80" w:type="dxa"/>
              <w:end w:w="90" w:type="dxa"/>
            </w:tcMar>
            <w:vAlign w:val="top"/>
          </w:tcPr>
          <w:p>
            <w:pPr>
              <w:spacing w:after="0" w:line="240" w:lineRule="auto"/>
            </w:pPr>
            <w:r>
              <w:rPr>
                <w:rFonts w:ascii="Arial" w:hAnsi="Arial"/>
                <w:sz w:val="15"/>
              </w:rPr>
              <w:t>Potentially relevant only if disability status and State conduct are established by additional records. D1 contains illness claims but no disability decision.</w:t>
            </w:r>
          </w:p>
        </w:tc>
      </w:tr>
      <w:tr>
        <w:trPr>
          <w:cantSplit/>
        </w:trPr>
        <w:tc>
          <w:tcPr>
            <w:tcW w:type="dxa" w:w="2520"/>
            <w:tcMar>
              <w:top w:w="80" w:type="dxa"/>
              <w:start w:w="90" w:type="dxa"/>
              <w:bottom w:w="80" w:type="dxa"/>
              <w:end w:w="90" w:type="dxa"/>
            </w:tcMar>
            <w:vAlign w:val="top"/>
          </w:tcPr>
          <w:p>
            <w:pPr>
              <w:spacing w:after="0" w:line="240" w:lineRule="auto"/>
            </w:pPr>
            <w:r>
              <w:rPr>
                <w:rFonts w:ascii="Arial" w:hAnsi="Arial"/>
                <w:sz w:val="15"/>
              </w:rPr>
              <w:t>CAT Articles 12, 13 and 16</w:t>
            </w:r>
          </w:p>
        </w:tc>
        <w:tc>
          <w:tcPr>
            <w:tcW w:type="dxa" w:w="4464"/>
            <w:tcMar>
              <w:top w:w="80" w:type="dxa"/>
              <w:start w:w="90" w:type="dxa"/>
              <w:bottom w:w="80" w:type="dxa"/>
              <w:end w:w="90" w:type="dxa"/>
            </w:tcMar>
            <w:vAlign w:val="top"/>
          </w:tcPr>
          <w:p>
            <w:pPr>
              <w:spacing w:after="0" w:line="240" w:lineRule="auto"/>
            </w:pPr>
            <w:r>
              <w:rPr>
                <w:rFonts w:ascii="Arial" w:hAnsi="Arial"/>
                <w:sz w:val="15"/>
              </w:rPr>
              <w:t>Prompt and impartial investigation of credible torture/ill-treatment allegations, right to complain and prevention of cruel, inhuman or degrading treatment by or with official involvement.</w:t>
            </w:r>
          </w:p>
        </w:tc>
        <w:tc>
          <w:tcPr>
            <w:tcW w:type="dxa" w:w="2592"/>
            <w:tcMar>
              <w:top w:w="80" w:type="dxa"/>
              <w:start w:w="90" w:type="dxa"/>
              <w:bottom w:w="80" w:type="dxa"/>
              <w:end w:w="90" w:type="dxa"/>
            </w:tcMar>
            <w:vAlign w:val="top"/>
          </w:tcPr>
          <w:p>
            <w:pPr>
              <w:spacing w:after="0" w:line="240" w:lineRule="auto"/>
            </w:pPr>
            <w:r>
              <w:rPr>
                <w:rFonts w:ascii="Arial" w:hAnsi="Arial"/>
                <w:sz w:val="15"/>
              </w:rPr>
              <w:t>D1 records such allegations. It does not prove the acts, official acquiescence or investigative failure.</w:t>
            </w:r>
          </w:p>
        </w:tc>
      </w:tr>
    </w:tbl>
    <w:p>
      <w:pPr>
        <w:spacing w:after="40"/>
      </w:pPr>
    </w:p>
    <w:p>
      <w:r>
        <w:br w:type="page"/>
      </w:r>
    </w:p>
    <w:p>
      <w:pPr>
        <w:pStyle w:val="Heading2"/>
        <w:keepNext/>
        <w:spacing w:before="120" w:after="80"/>
      </w:pPr>
      <w:r>
        <w:t>10.3 German Constitutional and Domestic Law</w:t>
      </w:r>
    </w:p>
    <w:tbl>
      <w:tblPr>
        <w:tblW w:type="auto" w:w="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3251"/>
        <w:gridCol w:w="3251"/>
        <w:gridCol w:w="3251"/>
      </w:tblGrid>
      <w:tr>
        <w:trPr>
          <w:tblHeader w:val="true"/>
          <w:cantSplit/>
        </w:trPr>
        <w:tc>
          <w:tcPr>
            <w:tcW w:type="dxa" w:w="2232"/>
            <w:shd w:fill="17365D"/>
            <w:tcMar>
              <w:top w:w="80" w:type="dxa"/>
              <w:start w:w="90" w:type="dxa"/>
              <w:bottom w:w="80" w:type="dxa"/>
              <w:end w:w="90" w:type="dxa"/>
            </w:tcMar>
            <w:vAlign w:val="center"/>
          </w:tcPr>
          <w:p>
            <w:pPr>
              <w:spacing w:after="0"/>
              <w:jc w:val="left"/>
            </w:pPr>
            <w:r>
              <w:rPr>
                <w:rFonts w:ascii="Arial" w:hAnsi="Arial"/>
                <w:b/>
                <w:color w:val="FFFFFF"/>
                <w:sz w:val="17"/>
              </w:rPr>
              <w:t>Provision</w:t>
            </w:r>
          </w:p>
        </w:tc>
        <w:tc>
          <w:tcPr>
            <w:tcW w:type="dxa" w:w="3672"/>
            <w:shd w:fill="17365D"/>
            <w:tcMar>
              <w:top w:w="80" w:type="dxa"/>
              <w:start w:w="90" w:type="dxa"/>
              <w:bottom w:w="80" w:type="dxa"/>
              <w:end w:w="90" w:type="dxa"/>
            </w:tcMar>
            <w:vAlign w:val="center"/>
          </w:tcPr>
          <w:p>
            <w:pPr>
              <w:spacing w:after="0"/>
              <w:jc w:val="left"/>
            </w:pPr>
            <w:r>
              <w:rPr>
                <w:rFonts w:ascii="Arial" w:hAnsi="Arial"/>
                <w:b/>
                <w:color w:val="FFFFFF"/>
                <w:sz w:val="17"/>
              </w:rPr>
              <w:t>Rule</w:t>
            </w:r>
          </w:p>
        </w:tc>
        <w:tc>
          <w:tcPr>
            <w:tcW w:type="dxa" w:w="3672"/>
            <w:shd w:fill="17365D"/>
            <w:tcMar>
              <w:top w:w="80" w:type="dxa"/>
              <w:start w:w="90" w:type="dxa"/>
              <w:bottom w:w="80" w:type="dxa"/>
              <w:end w:w="90" w:type="dxa"/>
            </w:tcMar>
            <w:vAlign w:val="center"/>
          </w:tcPr>
          <w:p>
            <w:pPr>
              <w:spacing w:after="0"/>
              <w:jc w:val="left"/>
            </w:pPr>
            <w:r>
              <w:rPr>
                <w:rFonts w:ascii="Arial" w:hAnsi="Arial"/>
                <w:b/>
                <w:color w:val="FFFFFF"/>
                <w:sz w:val="17"/>
              </w:rPr>
              <w:t>Application to current record</w:t>
            </w:r>
          </w:p>
        </w:tc>
      </w:tr>
      <w:tr>
        <w:trPr>
          <w:cantSplit/>
        </w:trPr>
        <w:tc>
          <w:tcPr>
            <w:tcW w:type="dxa" w:w="2232"/>
            <w:tcMar>
              <w:top w:w="80" w:type="dxa"/>
              <w:start w:w="90" w:type="dxa"/>
              <w:bottom w:w="80" w:type="dxa"/>
              <w:end w:w="90" w:type="dxa"/>
            </w:tcMar>
            <w:vAlign w:val="top"/>
          </w:tcPr>
          <w:p>
            <w:pPr>
              <w:spacing w:after="0" w:line="240" w:lineRule="auto"/>
            </w:pPr>
            <w:r>
              <w:rPr>
                <w:rFonts w:ascii="Arial" w:hAnsi="Arial"/>
                <w:sz w:val="15"/>
              </w:rPr>
              <w:t>Basic Law, Article 1(1)</w:t>
            </w:r>
          </w:p>
        </w:tc>
        <w:tc>
          <w:tcPr>
            <w:tcW w:type="dxa" w:w="3672"/>
            <w:tcMar>
              <w:top w:w="80" w:type="dxa"/>
              <w:start w:w="90" w:type="dxa"/>
              <w:bottom w:w="80" w:type="dxa"/>
              <w:end w:w="90" w:type="dxa"/>
            </w:tcMar>
            <w:vAlign w:val="top"/>
          </w:tcPr>
          <w:p>
            <w:pPr>
              <w:spacing w:after="0" w:line="240" w:lineRule="auto"/>
            </w:pPr>
            <w:r>
              <w:rPr>
                <w:rFonts w:ascii="Arial" w:hAnsi="Arial"/>
                <w:sz w:val="15"/>
              </w:rPr>
              <w:t>Human dignity is inviolable; all State authority must respect and protect it.</w:t>
            </w:r>
          </w:p>
        </w:tc>
        <w:tc>
          <w:tcPr>
            <w:tcW w:type="dxa" w:w="3672"/>
            <w:tcMar>
              <w:top w:w="80" w:type="dxa"/>
              <w:start w:w="90" w:type="dxa"/>
              <w:bottom w:w="80" w:type="dxa"/>
              <w:end w:w="90" w:type="dxa"/>
            </w:tcMar>
            <w:vAlign w:val="top"/>
          </w:tcPr>
          <w:p>
            <w:pPr>
              <w:spacing w:after="0" w:line="240" w:lineRule="auto"/>
            </w:pPr>
            <w:r>
              <w:rPr>
                <w:rFonts w:ascii="Arial" w:hAnsi="Arial"/>
                <w:sz w:val="15"/>
              </w:rPr>
              <w:t>The letter invokes destruction of dignity and life. A State breach cannot be proven from a letter to a private organisation alone.</w:t>
            </w:r>
          </w:p>
        </w:tc>
      </w:tr>
      <w:tr>
        <w:trPr>
          <w:cantSplit/>
        </w:trPr>
        <w:tc>
          <w:tcPr>
            <w:tcW w:type="dxa" w:w="2232"/>
            <w:tcMar>
              <w:top w:w="80" w:type="dxa"/>
              <w:start w:w="90" w:type="dxa"/>
              <w:bottom w:w="80" w:type="dxa"/>
              <w:end w:w="90" w:type="dxa"/>
            </w:tcMar>
            <w:vAlign w:val="top"/>
          </w:tcPr>
          <w:p>
            <w:pPr>
              <w:spacing w:after="0" w:line="240" w:lineRule="auto"/>
            </w:pPr>
            <w:r>
              <w:rPr>
                <w:rFonts w:ascii="Arial" w:hAnsi="Arial"/>
                <w:sz w:val="15"/>
              </w:rPr>
              <w:t>Basic Law, Article 2(2)</w:t>
            </w:r>
          </w:p>
        </w:tc>
        <w:tc>
          <w:tcPr>
            <w:tcW w:type="dxa" w:w="3672"/>
            <w:tcMar>
              <w:top w:w="80" w:type="dxa"/>
              <w:start w:w="90" w:type="dxa"/>
              <w:bottom w:w="80" w:type="dxa"/>
              <w:end w:w="90" w:type="dxa"/>
            </w:tcMar>
            <w:vAlign w:val="top"/>
          </w:tcPr>
          <w:p>
            <w:pPr>
              <w:spacing w:after="0" w:line="240" w:lineRule="auto"/>
            </w:pPr>
            <w:r>
              <w:rPr>
                <w:rFonts w:ascii="Arial" w:hAnsi="Arial"/>
                <w:sz w:val="15"/>
              </w:rPr>
              <w:t>Right to life and physical integrity.</w:t>
            </w:r>
          </w:p>
        </w:tc>
        <w:tc>
          <w:tcPr>
            <w:tcW w:type="dxa" w:w="3672"/>
            <w:tcMar>
              <w:top w:w="80" w:type="dxa"/>
              <w:start w:w="90" w:type="dxa"/>
              <w:bottom w:w="80" w:type="dxa"/>
              <w:end w:w="90" w:type="dxa"/>
            </w:tcMar>
            <w:vAlign w:val="top"/>
          </w:tcPr>
          <w:p>
            <w:pPr>
              <w:spacing w:after="0" w:line="240" w:lineRule="auto"/>
            </w:pPr>
            <w:r>
              <w:rPr>
                <w:rFonts w:ascii="Arial" w:hAnsi="Arial"/>
                <w:sz w:val="15"/>
              </w:rPr>
              <w:t>Directly engaged by the time-specific suicide warning and health claims. No final State or recipient violation is established by D1 alone.</w:t>
            </w:r>
          </w:p>
        </w:tc>
      </w:tr>
      <w:tr>
        <w:trPr>
          <w:cantSplit/>
        </w:trPr>
        <w:tc>
          <w:tcPr>
            <w:tcW w:type="dxa" w:w="2232"/>
            <w:tcMar>
              <w:top w:w="80" w:type="dxa"/>
              <w:start w:w="90" w:type="dxa"/>
              <w:bottom w:w="80" w:type="dxa"/>
              <w:end w:w="90" w:type="dxa"/>
            </w:tcMar>
            <w:vAlign w:val="top"/>
          </w:tcPr>
          <w:p>
            <w:pPr>
              <w:spacing w:after="0" w:line="240" w:lineRule="auto"/>
            </w:pPr>
            <w:r>
              <w:rPr>
                <w:rFonts w:ascii="Arial" w:hAnsi="Arial"/>
                <w:sz w:val="15"/>
              </w:rPr>
              <w:t>Basic Law, Article 3(3)</w:t>
            </w:r>
          </w:p>
        </w:tc>
        <w:tc>
          <w:tcPr>
            <w:tcW w:type="dxa" w:w="3672"/>
            <w:tcMar>
              <w:top w:w="80" w:type="dxa"/>
              <w:start w:w="90" w:type="dxa"/>
              <w:bottom w:w="80" w:type="dxa"/>
              <w:end w:w="90" w:type="dxa"/>
            </w:tcMar>
            <w:vAlign w:val="top"/>
          </w:tcPr>
          <w:p>
            <w:pPr>
              <w:spacing w:after="0" w:line="240" w:lineRule="auto"/>
            </w:pPr>
            <w:r>
              <w:rPr>
                <w:rFonts w:ascii="Arial" w:hAnsi="Arial"/>
                <w:sz w:val="15"/>
              </w:rPr>
              <w:t>Prohibits disadvantage because of disability and other listed grounds.</w:t>
            </w:r>
          </w:p>
        </w:tc>
        <w:tc>
          <w:tcPr>
            <w:tcW w:type="dxa" w:w="3672"/>
            <w:tcMar>
              <w:top w:w="80" w:type="dxa"/>
              <w:start w:w="90" w:type="dxa"/>
              <w:bottom w:w="80" w:type="dxa"/>
              <w:end w:w="90" w:type="dxa"/>
            </w:tcMar>
            <w:vAlign w:val="top"/>
          </w:tcPr>
          <w:p>
            <w:pPr>
              <w:spacing w:after="0" w:line="240" w:lineRule="auto"/>
            </w:pPr>
            <w:r>
              <w:rPr>
                <w:rFonts w:ascii="Arial" w:hAnsi="Arial"/>
                <w:sz w:val="15"/>
              </w:rPr>
              <w:t>No official discriminatory decision or reason is contained in D1.</w:t>
            </w:r>
          </w:p>
        </w:tc>
      </w:tr>
      <w:tr>
        <w:trPr>
          <w:cantSplit/>
        </w:trPr>
        <w:tc>
          <w:tcPr>
            <w:tcW w:type="dxa" w:w="2232"/>
            <w:tcMar>
              <w:top w:w="80" w:type="dxa"/>
              <w:start w:w="90" w:type="dxa"/>
              <w:bottom w:w="80" w:type="dxa"/>
              <w:end w:w="90" w:type="dxa"/>
            </w:tcMar>
            <w:vAlign w:val="top"/>
          </w:tcPr>
          <w:p>
            <w:pPr>
              <w:spacing w:after="0" w:line="240" w:lineRule="auto"/>
            </w:pPr>
            <w:r>
              <w:rPr>
                <w:rFonts w:ascii="Arial" w:hAnsi="Arial"/>
                <w:sz w:val="15"/>
              </w:rPr>
              <w:t>Basic Law, Article 17</w:t>
            </w:r>
          </w:p>
        </w:tc>
        <w:tc>
          <w:tcPr>
            <w:tcW w:type="dxa" w:w="3672"/>
            <w:tcMar>
              <w:top w:w="80" w:type="dxa"/>
              <w:start w:w="90" w:type="dxa"/>
              <w:bottom w:w="80" w:type="dxa"/>
              <w:end w:w="90" w:type="dxa"/>
            </w:tcMar>
            <w:vAlign w:val="top"/>
          </w:tcPr>
          <w:p>
            <w:pPr>
              <w:spacing w:after="0" w:line="240" w:lineRule="auto"/>
            </w:pPr>
            <w:r>
              <w:rPr>
                <w:rFonts w:ascii="Arial" w:hAnsi="Arial"/>
                <w:sz w:val="15"/>
              </w:rPr>
              <w:t>Right to address written requests or complaints to competent authorities and the legislature.</w:t>
            </w:r>
          </w:p>
        </w:tc>
        <w:tc>
          <w:tcPr>
            <w:tcW w:type="dxa" w:w="3672"/>
            <w:tcMar>
              <w:top w:w="80" w:type="dxa"/>
              <w:start w:w="90" w:type="dxa"/>
              <w:bottom w:w="80" w:type="dxa"/>
              <w:end w:w="90" w:type="dxa"/>
            </w:tcMar>
            <w:vAlign w:val="top"/>
          </w:tcPr>
          <w:p>
            <w:pPr>
              <w:spacing w:after="0" w:line="240" w:lineRule="auto"/>
            </w:pPr>
            <w:r>
              <w:rPr>
                <w:rFonts w:ascii="Arial" w:hAnsi="Arial"/>
                <w:sz w:val="15"/>
              </w:rPr>
              <w:t>D1 is addressed to Raphaels-Werk, not shown by this source to be a State authority or legislature. Direct Article 17 breach is not established.</w:t>
            </w:r>
          </w:p>
        </w:tc>
      </w:tr>
      <w:tr>
        <w:trPr>
          <w:cantSplit/>
        </w:trPr>
        <w:tc>
          <w:tcPr>
            <w:tcW w:type="dxa" w:w="2232"/>
            <w:tcMar>
              <w:top w:w="80" w:type="dxa"/>
              <w:start w:w="90" w:type="dxa"/>
              <w:bottom w:w="80" w:type="dxa"/>
              <w:end w:w="90" w:type="dxa"/>
            </w:tcMar>
            <w:vAlign w:val="top"/>
          </w:tcPr>
          <w:p>
            <w:pPr>
              <w:spacing w:after="0" w:line="240" w:lineRule="auto"/>
            </w:pPr>
            <w:r>
              <w:rPr>
                <w:rFonts w:ascii="Arial" w:hAnsi="Arial"/>
                <w:sz w:val="15"/>
              </w:rPr>
              <w:t>Basic Law, Article 19(4)</w:t>
            </w:r>
          </w:p>
        </w:tc>
        <w:tc>
          <w:tcPr>
            <w:tcW w:type="dxa" w:w="3672"/>
            <w:tcMar>
              <w:top w:w="80" w:type="dxa"/>
              <w:start w:w="90" w:type="dxa"/>
              <w:bottom w:w="80" w:type="dxa"/>
              <w:end w:w="90" w:type="dxa"/>
            </w:tcMar>
            <w:vAlign w:val="top"/>
          </w:tcPr>
          <w:p>
            <w:pPr>
              <w:spacing w:after="0" w:line="240" w:lineRule="auto"/>
            </w:pPr>
            <w:r>
              <w:rPr>
                <w:rFonts w:ascii="Arial" w:hAnsi="Arial"/>
                <w:sz w:val="15"/>
              </w:rPr>
              <w:t>Judicial recourse where rights are violated by public authority.</w:t>
            </w:r>
          </w:p>
        </w:tc>
        <w:tc>
          <w:tcPr>
            <w:tcW w:type="dxa" w:w="3672"/>
            <w:tcMar>
              <w:top w:w="80" w:type="dxa"/>
              <w:start w:w="90" w:type="dxa"/>
              <w:bottom w:w="80" w:type="dxa"/>
              <w:end w:w="90" w:type="dxa"/>
            </w:tcMar>
            <w:vAlign w:val="top"/>
          </w:tcPr>
          <w:p>
            <w:pPr>
              <w:spacing w:after="0" w:line="240" w:lineRule="auto"/>
            </w:pPr>
            <w:r>
              <w:rPr>
                <w:rFonts w:ascii="Arial" w:hAnsi="Arial"/>
                <w:sz w:val="15"/>
              </w:rPr>
              <w:t>The letter alleges lack of effective justice, but no court file or decision is included in D1.</w:t>
            </w:r>
          </w:p>
        </w:tc>
      </w:tr>
      <w:tr>
        <w:trPr>
          <w:cantSplit/>
        </w:trPr>
        <w:tc>
          <w:tcPr>
            <w:tcW w:type="dxa" w:w="2232"/>
            <w:tcMar>
              <w:top w:w="80" w:type="dxa"/>
              <w:start w:w="90" w:type="dxa"/>
              <w:bottom w:w="80" w:type="dxa"/>
              <w:end w:w="90" w:type="dxa"/>
            </w:tcMar>
            <w:vAlign w:val="top"/>
          </w:tcPr>
          <w:p>
            <w:pPr>
              <w:spacing w:after="0" w:line="240" w:lineRule="auto"/>
            </w:pPr>
            <w:r>
              <w:rPr>
                <w:rFonts w:ascii="Arial" w:hAnsi="Arial"/>
                <w:sz w:val="15"/>
              </w:rPr>
              <w:t>Basic Law, Article 20(3)</w:t>
            </w:r>
          </w:p>
        </w:tc>
        <w:tc>
          <w:tcPr>
            <w:tcW w:type="dxa" w:w="3672"/>
            <w:tcMar>
              <w:top w:w="80" w:type="dxa"/>
              <w:start w:w="90" w:type="dxa"/>
              <w:bottom w:w="80" w:type="dxa"/>
              <w:end w:w="90" w:type="dxa"/>
            </w:tcMar>
            <w:vAlign w:val="top"/>
          </w:tcPr>
          <w:p>
            <w:pPr>
              <w:spacing w:after="0" w:line="240" w:lineRule="auto"/>
            </w:pPr>
            <w:r>
              <w:rPr>
                <w:rFonts w:ascii="Arial" w:hAnsi="Arial"/>
                <w:sz w:val="15"/>
              </w:rPr>
              <w:t>Executive and judiciary are bound by law and justice.</w:t>
            </w:r>
          </w:p>
        </w:tc>
        <w:tc>
          <w:tcPr>
            <w:tcW w:type="dxa" w:w="3672"/>
            <w:tcMar>
              <w:top w:w="80" w:type="dxa"/>
              <w:start w:w="90" w:type="dxa"/>
              <w:bottom w:w="80" w:type="dxa"/>
              <w:end w:w="90" w:type="dxa"/>
            </w:tcMar>
            <w:vAlign w:val="top"/>
          </w:tcPr>
          <w:p>
            <w:pPr>
              <w:spacing w:after="0" w:line="240" w:lineRule="auto"/>
            </w:pPr>
            <w:r>
              <w:rPr>
                <w:rFonts w:ascii="Arial" w:hAnsi="Arial"/>
                <w:sz w:val="15"/>
              </w:rPr>
              <w:t>Underlying official misconduct is alleged, not independently proven by this source.</w:t>
            </w:r>
          </w:p>
        </w:tc>
      </w:tr>
      <w:tr>
        <w:trPr>
          <w:cantSplit/>
        </w:trPr>
        <w:tc>
          <w:tcPr>
            <w:tcW w:type="dxa" w:w="2232"/>
            <w:tcMar>
              <w:top w:w="80" w:type="dxa"/>
              <w:start w:w="90" w:type="dxa"/>
              <w:bottom w:w="80" w:type="dxa"/>
              <w:end w:w="90" w:type="dxa"/>
            </w:tcMar>
            <w:vAlign w:val="top"/>
          </w:tcPr>
          <w:p>
            <w:pPr>
              <w:spacing w:after="0" w:line="240" w:lineRule="auto"/>
            </w:pPr>
            <w:r>
              <w:rPr>
                <w:rFonts w:ascii="Arial" w:hAnsi="Arial"/>
                <w:sz w:val="15"/>
              </w:rPr>
              <w:t>StGB section 323c</w:t>
            </w:r>
          </w:p>
        </w:tc>
        <w:tc>
          <w:tcPr>
            <w:tcW w:type="dxa" w:w="3672"/>
            <w:tcMar>
              <w:top w:w="80" w:type="dxa"/>
              <w:start w:w="90" w:type="dxa"/>
              <w:bottom w:w="80" w:type="dxa"/>
              <w:end w:w="90" w:type="dxa"/>
            </w:tcMar>
            <w:vAlign w:val="top"/>
          </w:tcPr>
          <w:p>
            <w:pPr>
              <w:spacing w:after="0" w:line="240" w:lineRule="auto"/>
            </w:pPr>
            <w:r>
              <w:rPr>
                <w:rFonts w:ascii="Arial" w:hAnsi="Arial"/>
                <w:sz w:val="15"/>
              </w:rPr>
              <w:t>Failure to render assistance in an accident, common danger or emergency when necessary and reasonably expected.</w:t>
            </w:r>
          </w:p>
        </w:tc>
        <w:tc>
          <w:tcPr>
            <w:tcW w:type="dxa" w:w="3672"/>
            <w:tcMar>
              <w:top w:w="80" w:type="dxa"/>
              <w:start w:w="90" w:type="dxa"/>
              <w:bottom w:w="80" w:type="dxa"/>
              <w:end w:w="90" w:type="dxa"/>
            </w:tcMar>
            <w:vAlign w:val="top"/>
          </w:tcPr>
          <w:p>
            <w:pPr>
              <w:spacing w:after="0" w:line="240" w:lineRule="auto"/>
            </w:pPr>
            <w:r>
              <w:rPr>
                <w:rFonts w:ascii="Arial" w:hAnsi="Arial"/>
                <w:sz w:val="15"/>
              </w:rPr>
              <w:t>Potentially relevant to an acute suicide emergency. Violation is not established because D1 contains no evidence of recipient non-assistance, contemporaneous circumstances or what assistance was reasonably possible.</w:t>
            </w:r>
          </w:p>
        </w:tc>
      </w:tr>
      <w:tr>
        <w:trPr>
          <w:cantSplit/>
        </w:trPr>
        <w:tc>
          <w:tcPr>
            <w:tcW w:type="dxa" w:w="2232"/>
            <w:tcMar>
              <w:top w:w="80" w:type="dxa"/>
              <w:start w:w="90" w:type="dxa"/>
              <w:bottom w:w="80" w:type="dxa"/>
              <w:end w:w="90" w:type="dxa"/>
            </w:tcMar>
            <w:vAlign w:val="top"/>
          </w:tcPr>
          <w:p>
            <w:pPr>
              <w:spacing w:after="0" w:line="240" w:lineRule="auto"/>
            </w:pPr>
            <w:r>
              <w:rPr>
                <w:rFonts w:ascii="Arial" w:hAnsi="Arial"/>
                <w:sz w:val="15"/>
              </w:rPr>
              <w:t>StGB section 13</w:t>
            </w:r>
          </w:p>
        </w:tc>
        <w:tc>
          <w:tcPr>
            <w:tcW w:type="dxa" w:w="3672"/>
            <w:tcMar>
              <w:top w:w="80" w:type="dxa"/>
              <w:start w:w="90" w:type="dxa"/>
              <w:bottom w:w="80" w:type="dxa"/>
              <w:end w:w="90" w:type="dxa"/>
            </w:tcMar>
            <w:vAlign w:val="top"/>
          </w:tcPr>
          <w:p>
            <w:pPr>
              <w:spacing w:after="0" w:line="240" w:lineRule="auto"/>
            </w:pPr>
            <w:r>
              <w:rPr>
                <w:rFonts w:ascii="Arial" w:hAnsi="Arial"/>
                <w:sz w:val="15"/>
              </w:rPr>
              <w:t>Criminal liability by omission requires a special legal responsibility to prevent the result and equivalence to active commission.</w:t>
            </w:r>
          </w:p>
        </w:tc>
        <w:tc>
          <w:tcPr>
            <w:tcW w:type="dxa" w:w="3672"/>
            <w:tcMar>
              <w:top w:w="80" w:type="dxa"/>
              <w:start w:w="90" w:type="dxa"/>
              <w:bottom w:w="80" w:type="dxa"/>
              <w:end w:w="90" w:type="dxa"/>
            </w:tcMar>
            <w:vAlign w:val="top"/>
          </w:tcPr>
          <w:p>
            <w:pPr>
              <w:spacing w:after="0" w:line="240" w:lineRule="auto"/>
            </w:pPr>
            <w:r>
              <w:rPr>
                <w:rFonts w:ascii="Arial" w:hAnsi="Arial"/>
                <w:sz w:val="15"/>
              </w:rPr>
              <w:t>No contractual, statutory, custodial or guarantor duty of Raphaels-Werk or a named employee is proven by D1.</w:t>
            </w:r>
          </w:p>
        </w:tc>
      </w:tr>
      <w:tr>
        <w:trPr>
          <w:cantSplit/>
        </w:trPr>
        <w:tc>
          <w:tcPr>
            <w:tcW w:type="dxa" w:w="2232"/>
            <w:tcMar>
              <w:top w:w="80" w:type="dxa"/>
              <w:start w:w="90" w:type="dxa"/>
              <w:bottom w:w="80" w:type="dxa"/>
              <w:end w:w="90" w:type="dxa"/>
            </w:tcMar>
            <w:vAlign w:val="top"/>
          </w:tcPr>
          <w:p>
            <w:pPr>
              <w:spacing w:after="0" w:line="240" w:lineRule="auto"/>
            </w:pPr>
            <w:r>
              <w:rPr>
                <w:rFonts w:ascii="Arial" w:hAnsi="Arial"/>
                <w:sz w:val="15"/>
              </w:rPr>
              <w:t>BGB section 823</w:t>
            </w:r>
          </w:p>
        </w:tc>
        <w:tc>
          <w:tcPr>
            <w:tcW w:type="dxa" w:w="3672"/>
            <w:tcMar>
              <w:top w:w="80" w:type="dxa"/>
              <w:start w:w="90" w:type="dxa"/>
              <w:bottom w:w="80" w:type="dxa"/>
              <w:end w:w="90" w:type="dxa"/>
            </w:tcMar>
            <w:vAlign w:val="top"/>
          </w:tcPr>
          <w:p>
            <w:pPr>
              <w:spacing w:after="0" w:line="240" w:lineRule="auto"/>
            </w:pPr>
            <w:r>
              <w:rPr>
                <w:rFonts w:ascii="Arial" w:hAnsi="Arial"/>
                <w:sz w:val="15"/>
              </w:rPr>
              <w:t>Civil liability for intentional or negligent unlawful injury to life, body, health, freedom, property or another right.</w:t>
            </w:r>
          </w:p>
        </w:tc>
        <w:tc>
          <w:tcPr>
            <w:tcW w:type="dxa" w:w="3672"/>
            <w:tcMar>
              <w:top w:w="80" w:type="dxa"/>
              <w:start w:w="90" w:type="dxa"/>
              <w:bottom w:w="80" w:type="dxa"/>
              <w:end w:w="90" w:type="dxa"/>
            </w:tcMar>
            <w:vAlign w:val="top"/>
          </w:tcPr>
          <w:p>
            <w:pPr>
              <w:spacing w:after="0" w:line="240" w:lineRule="auto"/>
            </w:pPr>
            <w:r>
              <w:rPr>
                <w:rFonts w:ascii="Arial" w:hAnsi="Arial"/>
                <w:sz w:val="15"/>
              </w:rPr>
              <w:t>No recipient act/omission, fault, resulting damage or causation after receipt is established by D1.</w:t>
            </w:r>
          </w:p>
        </w:tc>
      </w:tr>
      <w:tr>
        <w:trPr>
          <w:cantSplit/>
        </w:trPr>
        <w:tc>
          <w:tcPr>
            <w:tcW w:type="dxa" w:w="2232"/>
            <w:tcMar>
              <w:top w:w="80" w:type="dxa"/>
              <w:start w:w="90" w:type="dxa"/>
              <w:bottom w:w="80" w:type="dxa"/>
              <w:end w:w="90" w:type="dxa"/>
            </w:tcMar>
            <w:vAlign w:val="top"/>
          </w:tcPr>
          <w:p>
            <w:pPr>
              <w:spacing w:after="0" w:line="240" w:lineRule="auto"/>
            </w:pPr>
            <w:r>
              <w:rPr>
                <w:rFonts w:ascii="Arial" w:hAnsi="Arial"/>
                <w:sz w:val="15"/>
              </w:rPr>
              <w:t>BGB section 826</w:t>
            </w:r>
          </w:p>
        </w:tc>
        <w:tc>
          <w:tcPr>
            <w:tcW w:type="dxa" w:w="3672"/>
            <w:tcMar>
              <w:top w:w="80" w:type="dxa"/>
              <w:start w:w="90" w:type="dxa"/>
              <w:bottom w:w="80" w:type="dxa"/>
              <w:end w:w="90" w:type="dxa"/>
            </w:tcMar>
            <w:vAlign w:val="top"/>
          </w:tcPr>
          <w:p>
            <w:pPr>
              <w:spacing w:after="0" w:line="240" w:lineRule="auto"/>
            </w:pPr>
            <w:r>
              <w:rPr>
                <w:rFonts w:ascii="Arial" w:hAnsi="Arial"/>
                <w:sz w:val="15"/>
              </w:rPr>
              <w:t>Liability for intentional damage contrary to public policy.</w:t>
            </w:r>
          </w:p>
        </w:tc>
        <w:tc>
          <w:tcPr>
            <w:tcW w:type="dxa" w:w="3672"/>
            <w:tcMar>
              <w:top w:w="80" w:type="dxa"/>
              <w:start w:w="90" w:type="dxa"/>
              <w:bottom w:w="80" w:type="dxa"/>
              <w:end w:w="90" w:type="dxa"/>
            </w:tcMar>
            <w:vAlign w:val="top"/>
          </w:tcPr>
          <w:p>
            <w:pPr>
              <w:spacing w:after="0" w:line="240" w:lineRule="auto"/>
            </w:pPr>
            <w:r>
              <w:rPr>
                <w:rFonts w:ascii="Arial" w:hAnsi="Arial"/>
                <w:sz w:val="15"/>
              </w:rPr>
              <w:t>No intentional recipient conduct is shown in D1.</w:t>
            </w:r>
          </w:p>
        </w:tc>
      </w:tr>
    </w:tbl>
    <w:p>
      <w:pPr>
        <w:spacing w:after="40"/>
      </w:pPr>
    </w:p>
    <w:p>
      <w:pPr>
        <w:pStyle w:val="Heading2"/>
        <w:keepNext/>
        <w:spacing w:before="120" w:after="80"/>
      </w:pPr>
      <w:r>
        <w:t>10.4 Directly Supported Breach Findings</w:t>
      </w:r>
    </w:p>
    <w:tbl>
      <w:tblPr>
        <w:tblW w:type="auto" w:w="0"/>
        <w:jc w:val="center"/>
        <w:tblLayout w:type="fixed"/>
        <w:tblLook w:firstColumn="1" w:firstRow="1" w:lastColumn="0" w:lastRow="0" w:noHBand="0" w:noVBand="1" w:val="04A0"/>
        <w:tblBorders>
          <w:top w:val="single" w:sz="2" w:space="0" w:color="E2F0D9"/>
          <w:left w:val="single" w:sz="2" w:space="0" w:color="E2F0D9"/>
          <w:bottom w:val="single" w:sz="2" w:space="0" w:color="E2F0D9"/>
          <w:right w:val="single" w:sz="2" w:space="0" w:color="E2F0D9"/>
          <w:insideH w:val="single" w:sz="2" w:space="0" w:color="E2F0D9"/>
          <w:insideV w:val="single" w:sz="2" w:space="0" w:color="E2F0D9"/>
        </w:tblBorders>
      </w:tblPr>
      <w:tblGrid>
        <w:gridCol w:w="9648"/>
      </w:tblGrid>
      <w:tr>
        <w:tc>
          <w:tcPr>
            <w:tcW w:type="dxa" w:w="9752"/>
            <w:shd w:fill="E2F0D9"/>
            <w:tcMar>
              <w:top w:w="80" w:type="dxa"/>
              <w:start w:w="120" w:type="dxa"/>
              <w:bottom w:w="80" w:type="dxa"/>
              <w:end w:w="120" w:type="dxa"/>
            </w:tcMar>
          </w:tcPr>
          <w:p>
            <w:pPr>
              <w:spacing w:after="0" w:line="252" w:lineRule="auto"/>
            </w:pPr>
            <w:r>
              <w:rPr>
                <w:rFonts w:ascii="Arial" w:hAnsi="Arial"/>
                <w:b/>
                <w:color w:val="17365D"/>
                <w:sz w:val="19"/>
              </w:rPr>
              <w:t xml:space="preserve">DOCUMENTARILY VERIFIED: </w:t>
            </w:r>
            <w:r>
              <w:rPr>
                <w:rFonts w:ascii="Arial" w:hAnsi="Arial"/>
                <w:color w:val="000000"/>
                <w:sz w:val="19"/>
              </w:rPr>
              <w:t>Raphaels-Werk received a written, named, specific and time-bound suicide warning on 22 April 2009. The warning stated a suicide date of 15 May 2009, asserted severe illness and requested help and independent examination.</w:t>
            </w:r>
          </w:p>
        </w:tc>
      </w:tr>
    </w:tbl>
    <w:p>
      <w:pPr>
        <w:spacing w:after="80" w:before="0"/>
      </w:pPr>
    </w:p>
    <w:tbl>
      <w:tblPr>
        <w:tblW w:type="auto" w:w="0"/>
        <w:jc w:val="center"/>
        <w:tblLayout w:type="fixed"/>
        <w:tblLook w:firstColumn="1" w:firstRow="1" w:lastColumn="0" w:lastRow="0" w:noHBand="0" w:noVBand="1" w:val="04A0"/>
        <w:tblBorders>
          <w:top w:val="single" w:sz="2" w:space="0" w:color="FFF2CC"/>
          <w:left w:val="single" w:sz="2" w:space="0" w:color="FFF2CC"/>
          <w:bottom w:val="single" w:sz="2" w:space="0" w:color="FFF2CC"/>
          <w:right w:val="single" w:sz="2" w:space="0" w:color="FFF2CC"/>
          <w:insideH w:val="single" w:sz="2" w:space="0" w:color="FFF2CC"/>
          <w:insideV w:val="single" w:sz="2" w:space="0" w:color="FFF2CC"/>
        </w:tblBorders>
      </w:tblPr>
      <w:tblGrid>
        <w:gridCol w:w="9648"/>
      </w:tblGrid>
      <w:tr>
        <w:tc>
          <w:tcPr>
            <w:tcW w:type="dxa" w:w="9752"/>
            <w:shd w:fill="FFF2CC"/>
            <w:tcMar>
              <w:top w:w="80" w:type="dxa"/>
              <w:start w:w="120" w:type="dxa"/>
              <w:bottom w:w="80" w:type="dxa"/>
              <w:end w:w="120" w:type="dxa"/>
            </w:tcMar>
          </w:tcPr>
          <w:p>
            <w:pPr>
              <w:spacing w:after="0" w:line="252" w:lineRule="auto"/>
            </w:pPr>
            <w:r>
              <w:rPr>
                <w:rFonts w:ascii="Arial" w:hAnsi="Arial"/>
                <w:b/>
                <w:color w:val="17365D"/>
                <w:sz w:val="19"/>
              </w:rPr>
              <w:t xml:space="preserve">NOT DOCUMENTARILY VERIFIED: </w:t>
            </w:r>
            <w:r>
              <w:rPr>
                <w:rFonts w:ascii="Arial" w:hAnsi="Arial"/>
                <w:color w:val="000000"/>
                <w:sz w:val="19"/>
              </w:rPr>
              <w:t>The current file does not establish whether Raphaels-Werk ignored the warning, responded inadequately, made a referral, contacted emergency or medical services, reviewed the CDs, or caused any subsequent injury.</w:t>
            </w:r>
          </w:p>
        </w:tc>
      </w:tr>
    </w:tbl>
    <w:p>
      <w:pPr>
        <w:spacing w:after="80" w:before="0"/>
      </w:pPr>
    </w:p>
    <w:tbl>
      <w:tblPr>
        <w:tblW w:type="auto" w:w="0"/>
        <w:jc w:val="center"/>
        <w:tblLayout w:type="fixed"/>
        <w:tblLook w:firstColumn="1" w:firstRow="1" w:lastColumn="0" w:lastRow="0" w:noHBand="0" w:noVBand="1" w:val="04A0"/>
        <w:tblBorders>
          <w:top w:val="single" w:sz="2" w:space="0" w:color="EAF2F8"/>
          <w:left w:val="single" w:sz="2" w:space="0" w:color="EAF2F8"/>
          <w:bottom w:val="single" w:sz="2" w:space="0" w:color="EAF2F8"/>
          <w:right w:val="single" w:sz="2" w:space="0" w:color="EAF2F8"/>
          <w:insideH w:val="single" w:sz="2" w:space="0" w:color="EAF2F8"/>
          <w:insideV w:val="single" w:sz="2" w:space="0" w:color="EAF2F8"/>
        </w:tblBorders>
      </w:tblPr>
      <w:tblGrid>
        <w:gridCol w:w="9648"/>
      </w:tblGrid>
      <w:tr>
        <w:tc>
          <w:tcPr>
            <w:tcW w:type="dxa" w:w="9752"/>
            <w:shd w:fill="EAF2F8"/>
            <w:tcMar>
              <w:top w:w="80" w:type="dxa"/>
              <w:start w:w="120" w:type="dxa"/>
              <w:bottom w:w="80" w:type="dxa"/>
              <w:end w:w="120" w:type="dxa"/>
            </w:tcMar>
          </w:tcPr>
          <w:p>
            <w:pPr>
              <w:spacing w:after="0" w:line="252" w:lineRule="auto"/>
            </w:pPr>
            <w:r>
              <w:rPr>
                <w:rFonts w:ascii="Arial" w:hAnsi="Arial"/>
                <w:b/>
                <w:color w:val="17365D"/>
                <w:sz w:val="19"/>
              </w:rPr>
              <w:t xml:space="preserve">NO FINAL VIOLATION DETERMINATION: </w:t>
            </w:r>
            <w:r>
              <w:rPr>
                <w:rFonts w:ascii="Arial" w:hAnsi="Arial"/>
                <w:color w:val="000000"/>
                <w:sz w:val="19"/>
              </w:rPr>
              <w:t>Because recipient conduct and outcome records are absent, this Report No. 11 cannot lawfully mark a violation of StGB sections 323c or 13, BGB sections 823 or 826, or an ECHR/UN treaty violation by Raphaels-Werk as Documentarily Verified. The strongest defensible conclusion is proven institutional notice plus a mandatory need for disclosure and independent assessment of the response.</w:t>
            </w:r>
          </w:p>
        </w:tc>
      </w:tr>
    </w:tbl>
    <w:p>
      <w:pPr>
        <w:spacing w:after="80" w:before="0"/>
      </w:pPr>
    </w:p>
    <w:p>
      <w:r>
        <w:br w:type="page"/>
      </w:r>
    </w:p>
    <w:p>
      <w:pPr>
        <w:pStyle w:val="Heading1"/>
        <w:keepNext/>
        <w:spacing w:before="200" w:after="80"/>
      </w:pPr>
      <w:r>
        <w:t>11. Final Findings and Conclusions</w:t>
      </w:r>
    </w:p>
    <w:p>
      <w:pPr>
        <w:spacing w:after="40" w:line="252" w:lineRule="auto"/>
        <w:ind w:left="312" w:hanging="312"/>
      </w:pPr>
      <w:r>
        <w:rPr>
          <w:rFonts w:ascii="Arial" w:hAnsi="Arial"/>
          <w:b w:val="0"/>
          <w:sz w:val="19"/>
        </w:rPr>
        <w:t>1.</w:t>
      </w:r>
      <w:r>
        <w:rPr>
          <w:rFonts w:ascii="Arial" w:hAnsi="Arial"/>
          <w:sz w:val="19"/>
        </w:rPr>
        <w:t xml:space="preserve">  D1 is a signed letter from Ismail Rustem to Raphaels-Werk, dated 15 April 2009, and the uploaded page bears an incoming stamp dated 22 April 2009.</w:t>
      </w:r>
    </w:p>
    <w:p>
      <w:pPr>
        <w:spacing w:after="40" w:line="252" w:lineRule="auto"/>
        <w:ind w:left="312" w:hanging="312"/>
      </w:pPr>
      <w:r>
        <w:rPr>
          <w:rFonts w:ascii="Arial" w:hAnsi="Arial"/>
          <w:b w:val="0"/>
          <w:sz w:val="19"/>
        </w:rPr>
        <w:t>2.</w:t>
      </w:r>
      <w:r>
        <w:rPr>
          <w:rFonts w:ascii="Arial" w:hAnsi="Arial"/>
          <w:sz w:val="19"/>
        </w:rPr>
        <w:t xml:space="preserve">  The document records an explicit intended-suicide date of 15 May 2009 and states that the applicant’s time was limited. The institution had documented written notice 23 days before the stated date.</w:t>
      </w:r>
    </w:p>
    <w:p>
      <w:pPr>
        <w:spacing w:after="40" w:line="252" w:lineRule="auto"/>
        <w:ind w:left="312" w:hanging="312"/>
      </w:pPr>
      <w:r>
        <w:rPr>
          <w:rFonts w:ascii="Arial" w:hAnsi="Arial"/>
          <w:b w:val="0"/>
          <w:sz w:val="19"/>
        </w:rPr>
        <w:t>3.</w:t>
      </w:r>
      <w:r>
        <w:rPr>
          <w:rFonts w:ascii="Arial" w:hAnsi="Arial"/>
          <w:sz w:val="19"/>
        </w:rPr>
        <w:t xml:space="preserve">  The document states that the applicant had 16 severe illnesses and sought examination by neutral foreign experts and an independent health report. These are proven statements in the letter, not independent medical verification.</w:t>
      </w:r>
    </w:p>
    <w:p>
      <w:pPr>
        <w:spacing w:after="40" w:line="252" w:lineRule="auto"/>
        <w:ind w:left="312" w:hanging="312"/>
      </w:pPr>
      <w:r>
        <w:rPr>
          <w:rFonts w:ascii="Arial" w:hAnsi="Arial"/>
          <w:b w:val="0"/>
          <w:sz w:val="19"/>
        </w:rPr>
        <w:t>4.</w:t>
      </w:r>
      <w:r>
        <w:rPr>
          <w:rFonts w:ascii="Arial" w:hAnsi="Arial"/>
          <w:sz w:val="19"/>
        </w:rPr>
        <w:t xml:space="preserve">  The document asks for transfer or assistance to another democratic European country, naming Switzerland as an example.</w:t>
      </w:r>
    </w:p>
    <w:p>
      <w:pPr>
        <w:spacing w:after="40" w:line="252" w:lineRule="auto"/>
        <w:ind w:left="312" w:hanging="312"/>
      </w:pPr>
      <w:r>
        <w:rPr>
          <w:rFonts w:ascii="Arial" w:hAnsi="Arial"/>
          <w:b w:val="0"/>
          <w:sz w:val="19"/>
        </w:rPr>
        <w:t>5.</w:t>
      </w:r>
      <w:r>
        <w:rPr>
          <w:rFonts w:ascii="Arial" w:hAnsi="Arial"/>
          <w:sz w:val="19"/>
        </w:rPr>
        <w:t xml:space="preserve">  The document contains serious allegations against German justice, prosecutors, psychiatrists, Charité and political-psychiatric cooperation. The notice of those allegations is proven; their truth is not established by D1 alone.</w:t>
      </w:r>
    </w:p>
    <w:p>
      <w:pPr>
        <w:spacing w:after="40" w:line="252" w:lineRule="auto"/>
        <w:ind w:left="312" w:hanging="312"/>
      </w:pPr>
      <w:r>
        <w:rPr>
          <w:rFonts w:ascii="Arial" w:hAnsi="Arial"/>
          <w:b w:val="0"/>
          <w:sz w:val="19"/>
        </w:rPr>
        <w:t>6.</w:t>
      </w:r>
      <w:r>
        <w:rPr>
          <w:rFonts w:ascii="Arial" w:hAnsi="Arial"/>
          <w:sz w:val="19"/>
        </w:rPr>
        <w:t xml:space="preserve">  The document states that two video CDs and two document CDs were enclosed. Physical receipt, inventory, preservation and review of the four carriers require recipient-side verification.</w:t>
      </w:r>
    </w:p>
    <w:p>
      <w:pPr>
        <w:spacing w:after="40" w:line="252" w:lineRule="auto"/>
        <w:ind w:left="312" w:hanging="312"/>
      </w:pPr>
      <w:r>
        <w:rPr>
          <w:rFonts w:ascii="Arial" w:hAnsi="Arial"/>
          <w:b w:val="0"/>
          <w:sz w:val="19"/>
        </w:rPr>
        <w:t>7.</w:t>
      </w:r>
      <w:r>
        <w:rPr>
          <w:rFonts w:ascii="Arial" w:hAnsi="Arial"/>
          <w:sz w:val="19"/>
        </w:rPr>
        <w:t xml:space="preserve">  No case number, intake number, postal tracking number, completed action field, response, referral record, risk assessment or enclosure inventory is visible in the uploaded source.</w:t>
      </w:r>
    </w:p>
    <w:p>
      <w:pPr>
        <w:spacing w:after="40" w:line="252" w:lineRule="auto"/>
        <w:ind w:left="312" w:hanging="312"/>
      </w:pPr>
      <w:r>
        <w:rPr>
          <w:rFonts w:ascii="Arial" w:hAnsi="Arial"/>
          <w:b w:val="0"/>
          <w:sz w:val="19"/>
        </w:rPr>
        <w:t>8.</w:t>
      </w:r>
      <w:r>
        <w:rPr>
          <w:rFonts w:ascii="Arial" w:hAnsi="Arial"/>
          <w:sz w:val="19"/>
        </w:rPr>
        <w:t xml:space="preserve">  The present evidentiary record proves institutional notice but does not prove recipient non-action or legal liability.</w:t>
      </w:r>
    </w:p>
    <w:p>
      <w:pPr>
        <w:spacing w:after="40" w:line="252" w:lineRule="auto"/>
        <w:ind w:left="312" w:hanging="312"/>
      </w:pPr>
      <w:r>
        <w:rPr>
          <w:rFonts w:ascii="Arial" w:hAnsi="Arial"/>
          <w:b w:val="0"/>
          <w:sz w:val="19"/>
        </w:rPr>
        <w:t>9.</w:t>
      </w:r>
      <w:r>
        <w:rPr>
          <w:rFonts w:ascii="Arial" w:hAnsi="Arial"/>
          <w:sz w:val="19"/>
        </w:rPr>
        <w:t xml:space="preserve">  The complete Raphaels-Werk file is necessary to determine whether the warning was handled in a manner consistent with applicable life-protection, assistance, civil-liability and human-rights standards.</w:t>
      </w:r>
    </w:p>
    <w:tbl>
      <w:tblPr>
        <w:tblW w:type="auto" w:w="0"/>
        <w:jc w:val="center"/>
        <w:tblLayout w:type="fixed"/>
        <w:tblLook w:firstColumn="1" w:firstRow="1" w:lastColumn="0" w:lastRow="0" w:noHBand="0" w:noVBand="1" w:val="04A0"/>
        <w:tblBorders>
          <w:top w:val="single" w:sz="2" w:space="0" w:color="D9EAF7"/>
          <w:left w:val="single" w:sz="2" w:space="0" w:color="D9EAF7"/>
          <w:bottom w:val="single" w:sz="2" w:space="0" w:color="D9EAF7"/>
          <w:right w:val="single" w:sz="2" w:space="0" w:color="D9EAF7"/>
          <w:insideH w:val="single" w:sz="2" w:space="0" w:color="D9EAF7"/>
          <w:insideV w:val="single" w:sz="2" w:space="0" w:color="D9EAF7"/>
        </w:tblBorders>
      </w:tblPr>
      <w:tblGrid>
        <w:gridCol w:w="9648"/>
      </w:tblGrid>
      <w:tr>
        <w:tc>
          <w:tcPr>
            <w:tcW w:type="dxa" w:w="9752"/>
            <w:shd w:fill="D9EAF7"/>
            <w:tcMar>
              <w:top w:w="80" w:type="dxa"/>
              <w:start w:w="120" w:type="dxa"/>
              <w:bottom w:w="80" w:type="dxa"/>
              <w:end w:w="120" w:type="dxa"/>
            </w:tcMar>
          </w:tcPr>
          <w:p>
            <w:pPr>
              <w:spacing w:after="0" w:line="252" w:lineRule="auto"/>
            </w:pPr>
            <w:r>
              <w:rPr>
                <w:rFonts w:ascii="Arial" w:hAnsi="Arial"/>
                <w:b/>
                <w:color w:val="17365D"/>
                <w:sz w:val="19"/>
              </w:rPr>
              <w:t xml:space="preserve">OVERALL LEGAL-DOCUMENTARY CONCLUSION: </w:t>
            </w:r>
            <w:r>
              <w:rPr>
                <w:rFonts w:ascii="Arial" w:hAnsi="Arial"/>
                <w:color w:val="000000"/>
                <w:sz w:val="19"/>
              </w:rPr>
              <w:t>The source is strong evidence of a concrete institutional notice event. It cannot responsibly be reduced to an undocumented recollection. Equally, it cannot responsibly be converted into a final finding that Raphaels-Werk committed an offence or human-rights violation without the missing recipient-side records. The next evidentiary issue is not whether the letter reached the institution - that is proven - but what the institution did after receipt.</w:t>
            </w:r>
          </w:p>
        </w:tc>
      </w:tr>
    </w:tbl>
    <w:p>
      <w:pPr>
        <w:spacing w:after="80" w:before="0"/>
      </w:pPr>
    </w:p>
    <w:p>
      <w:pPr>
        <w:pStyle w:val="Heading1"/>
        <w:keepNext/>
        <w:spacing w:before="200" w:after="80"/>
      </w:pPr>
      <w:r>
        <w:t>12. Report Status and Use</w:t>
      </w:r>
    </w:p>
    <w:p>
      <w:pPr>
        <w:spacing w:after="100" w:line="259" w:lineRule="auto"/>
      </w:pPr>
      <w:r>
        <w:rPr>
          <w:rFonts w:ascii="Arial" w:hAnsi="Arial"/>
          <w:i w:val="0"/>
          <w:sz w:val="20"/>
        </w:rPr>
        <w:t>This report may be used as an organised analytical exhibit together with the original one-page source. It is designed to preserve the distinction between proved documentary facts, recorded allegations and matters requiring disclosure. It is not a substitute for a court, prosecutor, forensic document examiner, medical expert or licensed legal representative.</w:t>
      </w:r>
    </w:p>
    <w:p>
      <w:pPr>
        <w:spacing w:after="100" w:line="259" w:lineRule="auto"/>
      </w:pPr>
      <w:r>
        <w:rPr>
          <w:rFonts w:ascii="Arial" w:hAnsi="Arial"/>
          <w:i w:val="0"/>
          <w:sz w:val="20"/>
        </w:rPr>
        <w:t>No earlier report is incorporated into the factual findings of Report No. 11. Any future consolidated report should preserve D1 as a separate source item and should not claim recipient non-action until the Raphaels-Werk response file has been obtained or its non-existence has been independently established.</w:t>
      </w:r>
    </w:p>
    <w:p>
      <w:r>
        <w:br w:type="page"/>
      </w:r>
    </w:p>
    <w:p>
      <w:pPr>
        <w:pStyle w:val="Heading1"/>
        <w:keepNext/>
        <w:spacing w:before="200" w:after="80"/>
      </w:pPr>
      <w:r>
        <w:t>Appendix A - Working English Translation of D1</w:t>
      </w:r>
    </w:p>
    <w:p>
      <w:pPr>
        <w:spacing w:after="100" w:line="259" w:lineRule="auto"/>
      </w:pPr>
      <w:r>
        <w:rPr>
          <w:rFonts w:ascii="Arial" w:hAnsi="Arial"/>
          <w:i/>
          <w:sz w:val="20"/>
        </w:rPr>
        <w:t>Translation note: This is a faithful working translation for analytical use. It is not a certified translation. Obvious grammatical and medical wording irregularities in the German original are not treated as independent medical facts.</w:t>
      </w:r>
    </w:p>
    <w:tbl>
      <w:tblPr>
        <w:tblW w:type="auto" w:w="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4876"/>
        <w:gridCol w:w="4876"/>
      </w:tblGrid>
      <w:tr>
        <w:trPr>
          <w:tblHeader w:val="true"/>
          <w:cantSplit/>
        </w:trPr>
        <w:tc>
          <w:tcPr>
            <w:tcW w:type="dxa" w:w="2232"/>
            <w:shd w:fill="17365D"/>
            <w:tcMar>
              <w:top w:w="80" w:type="dxa"/>
              <w:start w:w="90" w:type="dxa"/>
              <w:bottom w:w="80" w:type="dxa"/>
              <w:end w:w="90" w:type="dxa"/>
            </w:tcMar>
            <w:vAlign w:val="center"/>
          </w:tcPr>
          <w:p>
            <w:pPr>
              <w:spacing w:after="0"/>
              <w:jc w:val="left"/>
            </w:pPr>
            <w:r>
              <w:rPr>
                <w:rFonts w:ascii="Arial" w:hAnsi="Arial"/>
                <w:b/>
                <w:color w:val="FFFFFF"/>
                <w:sz w:val="17"/>
              </w:rPr>
              <w:t>Part of source</w:t>
            </w:r>
          </w:p>
        </w:tc>
        <w:tc>
          <w:tcPr>
            <w:tcW w:type="dxa" w:w="7272"/>
            <w:shd w:fill="17365D"/>
            <w:tcMar>
              <w:top w:w="80" w:type="dxa"/>
              <w:start w:w="90" w:type="dxa"/>
              <w:bottom w:w="80" w:type="dxa"/>
              <w:end w:w="90" w:type="dxa"/>
            </w:tcMar>
            <w:vAlign w:val="center"/>
          </w:tcPr>
          <w:p>
            <w:pPr>
              <w:spacing w:after="0"/>
              <w:jc w:val="left"/>
            </w:pPr>
            <w:r>
              <w:rPr>
                <w:rFonts w:ascii="Arial" w:hAnsi="Arial"/>
                <w:b/>
                <w:color w:val="FFFFFF"/>
                <w:sz w:val="17"/>
              </w:rPr>
              <w:t>Working English translation</w:t>
            </w:r>
          </w:p>
        </w:tc>
      </w:tr>
      <w:tr>
        <w:trPr>
          <w:cantSplit/>
        </w:trPr>
        <w:tc>
          <w:tcPr>
            <w:tcW w:type="dxa" w:w="2232"/>
            <w:tcMar>
              <w:top w:w="80" w:type="dxa"/>
              <w:start w:w="90" w:type="dxa"/>
              <w:bottom w:w="80" w:type="dxa"/>
              <w:end w:w="90" w:type="dxa"/>
            </w:tcMar>
            <w:vAlign w:val="top"/>
          </w:tcPr>
          <w:p>
            <w:pPr>
              <w:spacing w:after="0" w:line="240" w:lineRule="auto"/>
            </w:pPr>
            <w:r>
              <w:rPr>
                <w:rFonts w:ascii="Arial" w:hAnsi="Arial"/>
                <w:sz w:val="17"/>
              </w:rPr>
              <w:t>Sender / recipient block</w:t>
            </w:r>
          </w:p>
        </w:tc>
        <w:tc>
          <w:tcPr>
            <w:tcW w:type="dxa" w:w="7272"/>
            <w:tcMar>
              <w:top w:w="80" w:type="dxa"/>
              <w:start w:w="90" w:type="dxa"/>
              <w:bottom w:w="80" w:type="dxa"/>
              <w:end w:w="90" w:type="dxa"/>
            </w:tcMar>
            <w:vAlign w:val="top"/>
          </w:tcPr>
          <w:p>
            <w:pPr>
              <w:spacing w:after="0" w:line="240" w:lineRule="auto"/>
            </w:pPr>
            <w:r>
              <w:rPr>
                <w:rFonts w:ascii="Arial" w:hAnsi="Arial"/>
                <w:sz w:val="17"/>
              </w:rPr>
              <w:t>Ismail Rustem, Wichmannstr. 9, 10787 Berlin. To: Raphaels-Werk, Residenzstr. 90, 13409 Berlin. Telephone: 030/66633-1147. Fax: 030/66633-1279. Berlin, 15 April 2009.</w:t>
            </w:r>
          </w:p>
        </w:tc>
      </w:tr>
      <w:tr>
        <w:trPr>
          <w:cantSplit/>
        </w:trPr>
        <w:tc>
          <w:tcPr>
            <w:tcW w:type="dxa" w:w="2232"/>
            <w:tcMar>
              <w:top w:w="80" w:type="dxa"/>
              <w:start w:w="90" w:type="dxa"/>
              <w:bottom w:w="80" w:type="dxa"/>
              <w:end w:w="90" w:type="dxa"/>
            </w:tcMar>
            <w:vAlign w:val="top"/>
          </w:tcPr>
          <w:p>
            <w:pPr>
              <w:spacing w:after="0" w:line="240" w:lineRule="auto"/>
            </w:pPr>
            <w:r>
              <w:rPr>
                <w:rFonts w:ascii="Arial" w:hAnsi="Arial"/>
                <w:sz w:val="17"/>
              </w:rPr>
              <w:t>Opening medical statement</w:t>
            </w:r>
          </w:p>
        </w:tc>
        <w:tc>
          <w:tcPr>
            <w:tcW w:type="dxa" w:w="7272"/>
            <w:tcMar>
              <w:top w:w="80" w:type="dxa"/>
              <w:start w:w="90" w:type="dxa"/>
              <w:bottom w:w="80" w:type="dxa"/>
              <w:end w:w="90" w:type="dxa"/>
            </w:tcMar>
            <w:vAlign w:val="top"/>
          </w:tcPr>
          <w:p>
            <w:pPr>
              <w:spacing w:after="0" w:line="240" w:lineRule="auto"/>
            </w:pPr>
            <w:r>
              <w:rPr>
                <w:rFonts w:ascii="Arial" w:hAnsi="Arial"/>
                <w:sz w:val="17"/>
              </w:rPr>
              <w:t>“I have 16 serious illnesses, as follows:” followed by the medical list reproduced in section 6 of this report.</w:t>
            </w:r>
          </w:p>
        </w:tc>
      </w:tr>
      <w:tr>
        <w:trPr>
          <w:cantSplit/>
        </w:trPr>
        <w:tc>
          <w:tcPr>
            <w:tcW w:type="dxa" w:w="2232"/>
            <w:tcMar>
              <w:top w:w="80" w:type="dxa"/>
              <w:start w:w="90" w:type="dxa"/>
              <w:bottom w:w="80" w:type="dxa"/>
              <w:end w:w="90" w:type="dxa"/>
            </w:tcMar>
            <w:vAlign w:val="top"/>
          </w:tcPr>
          <w:p>
            <w:pPr>
              <w:spacing w:after="0" w:line="240" w:lineRule="auto"/>
            </w:pPr>
            <w:r>
              <w:rPr>
                <w:rFonts w:ascii="Arial" w:hAnsi="Arial"/>
                <w:sz w:val="17"/>
              </w:rPr>
              <w:t>Reason and requested examination</w:t>
            </w:r>
          </w:p>
        </w:tc>
        <w:tc>
          <w:tcPr>
            <w:tcW w:type="dxa" w:w="7272"/>
            <w:tcMar>
              <w:top w:w="80" w:type="dxa"/>
              <w:start w:w="90" w:type="dxa"/>
              <w:bottom w:w="80" w:type="dxa"/>
              <w:end w:w="90" w:type="dxa"/>
            </w:tcMar>
            <w:vAlign w:val="top"/>
          </w:tcPr>
          <w:p>
            <w:pPr>
              <w:spacing w:after="0" w:line="240" w:lineRule="auto"/>
            </w:pPr>
            <w:r>
              <w:rPr>
                <w:rFonts w:ascii="Arial" w:hAnsi="Arial"/>
                <w:sz w:val="17"/>
              </w:rPr>
              <w:t>The applicant states that the reason for his suicide is that he wants the Human Rights Court to consider his case at the next higher level. He asks for experts from a neutral nation to examine him and prepare an independent health assessment. He states that he has a right to a normal life and should not first have to become a victim before the truth comes to light.</w:t>
            </w:r>
          </w:p>
        </w:tc>
      </w:tr>
      <w:tr>
        <w:trPr>
          <w:cantSplit/>
        </w:trPr>
        <w:tc>
          <w:tcPr>
            <w:tcW w:type="dxa" w:w="2232"/>
            <w:tcMar>
              <w:top w:w="80" w:type="dxa"/>
              <w:start w:w="90" w:type="dxa"/>
              <w:bottom w:w="80" w:type="dxa"/>
              <w:end w:w="90" w:type="dxa"/>
            </w:tcMar>
            <w:vAlign w:val="top"/>
          </w:tcPr>
          <w:p>
            <w:pPr>
              <w:spacing w:after="0" w:line="240" w:lineRule="auto"/>
            </w:pPr>
            <w:r>
              <w:rPr>
                <w:rFonts w:ascii="Arial" w:hAnsi="Arial"/>
                <w:sz w:val="17"/>
              </w:rPr>
              <w:t>Allegations about justice and psychiatry</w:t>
            </w:r>
          </w:p>
        </w:tc>
        <w:tc>
          <w:tcPr>
            <w:tcW w:type="dxa" w:w="7272"/>
            <w:tcMar>
              <w:top w:w="80" w:type="dxa"/>
              <w:start w:w="90" w:type="dxa"/>
              <w:bottom w:w="80" w:type="dxa"/>
              <w:end w:w="90" w:type="dxa"/>
            </w:tcMar>
            <w:vAlign w:val="top"/>
          </w:tcPr>
          <w:p>
            <w:pPr>
              <w:spacing w:after="0" w:line="240" w:lineRule="auto"/>
            </w:pPr>
            <w:r>
              <w:rPr>
                <w:rFonts w:ascii="Arial" w:hAnsi="Arial"/>
                <w:sz w:val="17"/>
              </w:rPr>
              <w:t>The applicant alleges that German justice claims he supplied insufficient evidence although he had supplied enough; that the justice system conceals criminality; and that prosecutors and State psychiatrists could obtain the necessary evidence through investigations but would not do so. He asks to be sent to another democratic European country, such as Switzerland, for examination and to expose what he calls a false Charité diagnosis.</w:t>
            </w:r>
          </w:p>
        </w:tc>
      </w:tr>
      <w:tr>
        <w:trPr>
          <w:cantSplit/>
        </w:trPr>
        <w:tc>
          <w:tcPr>
            <w:tcW w:type="dxa" w:w="2232"/>
            <w:tcMar>
              <w:top w:w="80" w:type="dxa"/>
              <w:start w:w="90" w:type="dxa"/>
              <w:bottom w:w="80" w:type="dxa"/>
              <w:end w:w="90" w:type="dxa"/>
            </w:tcMar>
            <w:vAlign w:val="top"/>
          </w:tcPr>
          <w:p>
            <w:pPr>
              <w:spacing w:after="0" w:line="240" w:lineRule="auto"/>
            </w:pPr>
            <w:r>
              <w:rPr>
                <w:rFonts w:ascii="Arial" w:hAnsi="Arial"/>
                <w:sz w:val="17"/>
              </w:rPr>
              <w:t>Specific suicide warning</w:t>
            </w:r>
          </w:p>
        </w:tc>
        <w:tc>
          <w:tcPr>
            <w:tcW w:type="dxa" w:w="7272"/>
            <w:tcMar>
              <w:top w:w="80" w:type="dxa"/>
              <w:start w:w="90" w:type="dxa"/>
              <w:bottom w:w="80" w:type="dxa"/>
              <w:end w:w="90" w:type="dxa"/>
            </w:tcMar>
            <w:vAlign w:val="top"/>
          </w:tcPr>
          <w:p>
            <w:pPr>
              <w:spacing w:after="0" w:line="240" w:lineRule="auto"/>
            </w:pPr>
            <w:r>
              <w:rPr>
                <w:rFonts w:ascii="Arial" w:hAnsi="Arial"/>
                <w:sz w:val="17"/>
              </w:rPr>
              <w:t>The applicant urgently asks to be sent to another democratic country, gives Switzerland as an example, and states: “Do not say later that I did not ask you for help. On 15 May 2009 I intend to commit suicide, so my time is limited.” He states that political problems and lack of rights are driving him toward suicide.</w:t>
            </w:r>
          </w:p>
        </w:tc>
      </w:tr>
      <w:tr>
        <w:trPr>
          <w:cantSplit/>
        </w:trPr>
        <w:tc>
          <w:tcPr>
            <w:tcW w:type="dxa" w:w="2232"/>
            <w:tcMar>
              <w:top w:w="80" w:type="dxa"/>
              <w:start w:w="90" w:type="dxa"/>
              <w:bottom w:w="80" w:type="dxa"/>
              <w:end w:w="90" w:type="dxa"/>
            </w:tcMar>
            <w:vAlign w:val="top"/>
          </w:tcPr>
          <w:p>
            <w:pPr>
              <w:spacing w:after="0" w:line="240" w:lineRule="auto"/>
            </w:pPr>
            <w:r>
              <w:rPr>
                <w:rFonts w:ascii="Arial" w:hAnsi="Arial"/>
                <w:sz w:val="17"/>
              </w:rPr>
              <w:t>Evidence and closing allegations</w:t>
            </w:r>
          </w:p>
        </w:tc>
        <w:tc>
          <w:tcPr>
            <w:tcW w:type="dxa" w:w="7272"/>
            <w:tcMar>
              <w:top w:w="80" w:type="dxa"/>
              <w:start w:w="90" w:type="dxa"/>
              <w:bottom w:w="80" w:type="dxa"/>
              <w:end w:w="90" w:type="dxa"/>
            </w:tcMar>
            <w:vAlign w:val="top"/>
          </w:tcPr>
          <w:p>
            <w:pPr>
              <w:spacing w:after="0" w:line="240" w:lineRule="auto"/>
            </w:pPr>
            <w:r>
              <w:rPr>
                <w:rFonts w:ascii="Arial" w:hAnsi="Arial"/>
                <w:sz w:val="17"/>
              </w:rPr>
              <w:t>The applicant states that after his death other nations will examine his CDs and ask why action was not taken and why the matter was concealed. He alleges that his life was destroyed, that this was not accidental, and that politics and the psychiatric institution worked together.</w:t>
            </w:r>
          </w:p>
        </w:tc>
      </w:tr>
      <w:tr>
        <w:trPr>
          <w:cantSplit/>
        </w:trPr>
        <w:tc>
          <w:tcPr>
            <w:tcW w:type="dxa" w:w="2232"/>
            <w:tcMar>
              <w:top w:w="80" w:type="dxa"/>
              <w:start w:w="90" w:type="dxa"/>
              <w:bottom w:w="80" w:type="dxa"/>
              <w:end w:w="90" w:type="dxa"/>
            </w:tcMar>
            <w:vAlign w:val="top"/>
          </w:tcPr>
          <w:p>
            <w:pPr>
              <w:spacing w:after="0" w:line="240" w:lineRule="auto"/>
            </w:pPr>
            <w:r>
              <w:rPr>
                <w:rFonts w:ascii="Arial" w:hAnsi="Arial"/>
                <w:sz w:val="17"/>
              </w:rPr>
              <w:t>Enclosures</w:t>
            </w:r>
          </w:p>
        </w:tc>
        <w:tc>
          <w:tcPr>
            <w:tcW w:type="dxa" w:w="7272"/>
            <w:tcMar>
              <w:top w:w="80" w:type="dxa"/>
              <w:start w:w="90" w:type="dxa"/>
              <w:bottom w:w="80" w:type="dxa"/>
              <w:end w:w="90" w:type="dxa"/>
            </w:tcMar>
            <w:vAlign w:val="top"/>
          </w:tcPr>
          <w:p>
            <w:pPr>
              <w:spacing w:after="0" w:line="240" w:lineRule="auto"/>
            </w:pPr>
            <w:r>
              <w:rPr>
                <w:rFonts w:ascii="Arial" w:hAnsi="Arial"/>
                <w:sz w:val="17"/>
              </w:rPr>
              <w:t>The letter states: “Enclosed with this letter you receive two video CDs and two CDs containing documents about my ten-year severe and inhuman life history.”</w:t>
            </w:r>
          </w:p>
        </w:tc>
      </w:tr>
    </w:tbl>
    <w:p>
      <w:pPr>
        <w:spacing w:after="40"/>
      </w:pPr>
    </w:p>
    <w:p>
      <w:r>
        <w:br w:type="page"/>
      </w:r>
    </w:p>
    <w:p>
      <w:pPr>
        <w:pStyle w:val="Heading1"/>
        <w:keepNext/>
        <w:spacing w:before="200" w:after="80"/>
      </w:pPr>
      <w:r>
        <w:t>Appendix B - Source Image (D1, p. 1)</w:t>
      </w:r>
    </w:p>
    <w:p>
      <w:pPr>
        <w:spacing w:after="80"/>
        <w:jc w:val="center"/>
      </w:pPr>
      <w:r>
        <w:rPr>
          <w:rFonts w:ascii="Arial" w:hAnsi="Arial"/>
          <w:i/>
          <w:color w:val="404040"/>
          <w:sz w:val="18"/>
        </w:rPr>
        <w:t>The image below is the rendered page of the uploaded PDF analysed in this report.</w:t>
      </w:r>
    </w:p>
    <w:p>
      <w:pPr>
        <w:jc w:val="center"/>
      </w:pPr>
      <w:r>
        <w:drawing>
          <wp:inline xmlns:a="http://schemas.openxmlformats.org/drawingml/2006/main" xmlns:pic="http://schemas.openxmlformats.org/drawingml/2006/picture">
            <wp:extent cx="5715000" cy="8067830"/>
            <wp:docPr id="1" name="Picture 1"/>
            <wp:cNvGraphicFramePr>
              <a:graphicFrameLocks noChangeAspect="1"/>
            </wp:cNvGraphicFramePr>
            <a:graphic>
              <a:graphicData uri="http://schemas.openxmlformats.org/drawingml/2006/picture">
                <pic:pic>
                  <pic:nvPicPr>
                    <pic:cNvPr id="0" name="page-1.png"/>
                    <pic:cNvPicPr/>
                  </pic:nvPicPr>
                  <pic:blipFill>
                    <a:blip r:embed="rId11"/>
                    <a:stretch>
                      <a:fillRect/>
                    </a:stretch>
                  </pic:blipFill>
                  <pic:spPr>
                    <a:xfrm>
                      <a:off x="0" y="0"/>
                      <a:ext cx="5715000" cy="8067830"/>
                    </a:xfrm>
                    <a:prstGeom prst="rect"/>
                  </pic:spPr>
                </pic:pic>
              </a:graphicData>
            </a:graphic>
          </wp:inline>
        </w:drawing>
      </w:r>
    </w:p>
    <w:p>
      <w:r>
        <w:br w:type="page"/>
      </w:r>
    </w:p>
    <w:p>
      <w:pPr>
        <w:pStyle w:val="Heading1"/>
        <w:keepNext/>
        <w:spacing w:before="200" w:after="80"/>
      </w:pPr>
      <w:r>
        <w:t>Appendix C - Official Legal Source Register</w:t>
      </w:r>
    </w:p>
    <w:p>
      <w:pPr>
        <w:spacing w:after="100" w:line="259" w:lineRule="auto"/>
      </w:pPr>
      <w:r>
        <w:rPr>
          <w:rFonts w:ascii="Arial" w:hAnsi="Arial"/>
          <w:i/>
          <w:sz w:val="20"/>
        </w:rPr>
        <w:t>The following official texts were consulted only for the legal framework. Access date: 14 July 2026. The factual findings remain confined to D1.</w:t>
      </w:r>
    </w:p>
    <w:tbl>
      <w:tblPr>
        <w:tblW w:type="auto" w:w="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3251"/>
        <w:gridCol w:w="3251"/>
        <w:gridCol w:w="3251"/>
      </w:tblGrid>
      <w:tr>
        <w:trPr>
          <w:tblHeader w:val="true"/>
        </w:trPr>
        <w:tc>
          <w:tcPr>
            <w:tcW w:type="dxa" w:w="4392"/>
            <w:shd w:fill="17365D"/>
            <w:tcMar>
              <w:top w:w="80" w:type="dxa"/>
              <w:start w:w="90" w:type="dxa"/>
              <w:bottom w:w="80" w:type="dxa"/>
              <w:end w:w="90" w:type="dxa"/>
            </w:tcMar>
          </w:tcPr>
          <w:p>
            <w:r>
              <w:rPr>
                <w:rFonts w:ascii="Arial" w:hAnsi="Arial"/>
                <w:b/>
                <w:color w:val="FFFFFF"/>
                <w:sz w:val="17"/>
              </w:rPr>
              <w:t>Code / source</w:t>
            </w:r>
          </w:p>
        </w:tc>
        <w:tc>
          <w:tcPr>
            <w:tcW w:type="dxa" w:w="3096"/>
            <w:shd w:fill="17365D"/>
            <w:tcMar>
              <w:top w:w="80" w:type="dxa"/>
              <w:start w:w="90" w:type="dxa"/>
              <w:bottom w:w="80" w:type="dxa"/>
              <w:end w:w="90" w:type="dxa"/>
            </w:tcMar>
          </w:tcPr>
          <w:p>
            <w:r>
              <w:rPr>
                <w:rFonts w:ascii="Arial" w:hAnsi="Arial"/>
                <w:b/>
                <w:color w:val="FFFFFF"/>
                <w:sz w:val="17"/>
              </w:rPr>
              <w:t>Provisions used</w:t>
            </w:r>
          </w:p>
        </w:tc>
        <w:tc>
          <w:tcPr>
            <w:tcW w:type="dxa" w:w="1800"/>
            <w:shd w:fill="17365D"/>
            <w:tcMar>
              <w:top w:w="80" w:type="dxa"/>
              <w:start w:w="90" w:type="dxa"/>
              <w:bottom w:w="80" w:type="dxa"/>
              <w:end w:w="90" w:type="dxa"/>
            </w:tcMar>
          </w:tcPr>
          <w:p>
            <w:r>
              <w:rPr>
                <w:rFonts w:ascii="Arial" w:hAnsi="Arial"/>
                <w:b/>
                <w:color w:val="FFFFFF"/>
                <w:sz w:val="17"/>
              </w:rPr>
              <w:t>Official link</w:t>
            </w:r>
          </w:p>
        </w:tc>
      </w:tr>
      <w:tr>
        <w:tc>
          <w:tcPr>
            <w:tcW w:type="dxa" w:w="4392"/>
            <w:tcMar>
              <w:top w:w="80" w:type="dxa"/>
              <w:start w:w="90" w:type="dxa"/>
              <w:bottom w:w="80" w:type="dxa"/>
              <w:end w:w="90" w:type="dxa"/>
            </w:tcMar>
          </w:tcPr>
          <w:p>
            <w:pPr>
              <w:spacing w:after="0"/>
            </w:pPr>
            <w:r>
              <w:rPr>
                <w:rFonts w:ascii="Arial" w:hAnsi="Arial"/>
                <w:b/>
                <w:sz w:val="16"/>
              </w:rPr>
              <w:t>L1 - Basic Law for the Federal Republic of Germany</w:t>
            </w:r>
          </w:p>
        </w:tc>
        <w:tc>
          <w:tcPr>
            <w:tcW w:type="dxa" w:w="3096"/>
            <w:tcMar>
              <w:top w:w="80" w:type="dxa"/>
              <w:start w:w="90" w:type="dxa"/>
              <w:bottom w:w="80" w:type="dxa"/>
              <w:end w:w="90" w:type="dxa"/>
            </w:tcMar>
          </w:tcPr>
          <w:p>
            <w:pPr>
              <w:spacing w:after="0"/>
            </w:pPr>
            <w:r>
              <w:rPr>
                <w:rFonts w:ascii="Arial" w:hAnsi="Arial"/>
                <w:sz w:val="16"/>
              </w:rPr>
              <w:t>Articles 1, 2, 3, 17, 19 and 20</w:t>
            </w:r>
          </w:p>
        </w:tc>
        <w:tc>
          <w:tcPr>
            <w:tcW w:type="dxa" w:w="1800"/>
            <w:tcMar>
              <w:top w:w="80" w:type="dxa"/>
              <w:start w:w="90" w:type="dxa"/>
              <w:bottom w:w="80" w:type="dxa"/>
              <w:end w:w="90" w:type="dxa"/>
            </w:tcMar>
          </w:tcPr>
          <w:p>
            <w:pPr>
              <w:spacing w:after="0"/>
            </w:pPr>
            <w:hyperlink r:id="rId12">
              <w:r>
                <w:rPr>
                  <w:color w:val="2F5597"/>
                  <w:u w:val="single"/>
                  <w:rFonts w:ascii="Arial" w:hAnsi="Arial"/>
                  <w:sz w:val="18"/>
                </w:rPr>
                <w:t>Official source</w:t>
              </w:r>
            </w:hyperlink>
          </w:p>
        </w:tc>
      </w:tr>
      <w:tr>
        <w:tc>
          <w:tcPr>
            <w:tcW w:type="dxa" w:w="4392"/>
            <w:tcMar>
              <w:top w:w="80" w:type="dxa"/>
              <w:start w:w="90" w:type="dxa"/>
              <w:bottom w:w="80" w:type="dxa"/>
              <w:end w:w="90" w:type="dxa"/>
            </w:tcMar>
          </w:tcPr>
          <w:p>
            <w:pPr>
              <w:spacing w:after="0"/>
            </w:pPr>
            <w:r>
              <w:rPr>
                <w:rFonts w:ascii="Arial" w:hAnsi="Arial"/>
                <w:b/>
                <w:sz w:val="16"/>
              </w:rPr>
              <w:t>L2 - German Criminal Code (StGB)</w:t>
            </w:r>
          </w:p>
        </w:tc>
        <w:tc>
          <w:tcPr>
            <w:tcW w:type="dxa" w:w="3096"/>
            <w:tcMar>
              <w:top w:w="80" w:type="dxa"/>
              <w:start w:w="90" w:type="dxa"/>
              <w:bottom w:w="80" w:type="dxa"/>
              <w:end w:w="90" w:type="dxa"/>
            </w:tcMar>
          </w:tcPr>
          <w:p>
            <w:pPr>
              <w:spacing w:after="0"/>
            </w:pPr>
            <w:r>
              <w:rPr>
                <w:rFonts w:ascii="Arial" w:hAnsi="Arial"/>
                <w:sz w:val="16"/>
              </w:rPr>
              <w:t>Sections 13 and 323c</w:t>
            </w:r>
          </w:p>
        </w:tc>
        <w:tc>
          <w:tcPr>
            <w:tcW w:type="dxa" w:w="1800"/>
            <w:tcMar>
              <w:top w:w="80" w:type="dxa"/>
              <w:start w:w="90" w:type="dxa"/>
              <w:bottom w:w="80" w:type="dxa"/>
              <w:end w:w="90" w:type="dxa"/>
            </w:tcMar>
          </w:tcPr>
          <w:p>
            <w:pPr>
              <w:spacing w:after="0"/>
            </w:pPr>
            <w:hyperlink r:id="rId13">
              <w:r>
                <w:rPr>
                  <w:color w:val="2F5597"/>
                  <w:u w:val="single"/>
                  <w:rFonts w:ascii="Arial" w:hAnsi="Arial"/>
                  <w:sz w:val="18"/>
                </w:rPr>
                <w:t>Official source</w:t>
              </w:r>
            </w:hyperlink>
          </w:p>
        </w:tc>
      </w:tr>
      <w:tr>
        <w:tc>
          <w:tcPr>
            <w:tcW w:type="dxa" w:w="4392"/>
            <w:tcMar>
              <w:top w:w="80" w:type="dxa"/>
              <w:start w:w="90" w:type="dxa"/>
              <w:bottom w:w="80" w:type="dxa"/>
              <w:end w:w="90" w:type="dxa"/>
            </w:tcMar>
          </w:tcPr>
          <w:p>
            <w:pPr>
              <w:spacing w:after="0"/>
            </w:pPr>
            <w:r>
              <w:rPr>
                <w:rFonts w:ascii="Arial" w:hAnsi="Arial"/>
                <w:b/>
                <w:sz w:val="16"/>
              </w:rPr>
              <w:t>L3 - German Civil Code (BGB)</w:t>
            </w:r>
          </w:p>
        </w:tc>
        <w:tc>
          <w:tcPr>
            <w:tcW w:type="dxa" w:w="3096"/>
            <w:tcMar>
              <w:top w:w="80" w:type="dxa"/>
              <w:start w:w="90" w:type="dxa"/>
              <w:bottom w:w="80" w:type="dxa"/>
              <w:end w:w="90" w:type="dxa"/>
            </w:tcMar>
          </w:tcPr>
          <w:p>
            <w:pPr>
              <w:spacing w:after="0"/>
            </w:pPr>
            <w:r>
              <w:rPr>
                <w:rFonts w:ascii="Arial" w:hAnsi="Arial"/>
                <w:sz w:val="16"/>
              </w:rPr>
              <w:t>Sections 823 and 826</w:t>
            </w:r>
          </w:p>
        </w:tc>
        <w:tc>
          <w:tcPr>
            <w:tcW w:type="dxa" w:w="1800"/>
            <w:tcMar>
              <w:top w:w="80" w:type="dxa"/>
              <w:start w:w="90" w:type="dxa"/>
              <w:bottom w:w="80" w:type="dxa"/>
              <w:end w:w="90" w:type="dxa"/>
            </w:tcMar>
          </w:tcPr>
          <w:p>
            <w:pPr>
              <w:spacing w:after="0"/>
            </w:pPr>
            <w:hyperlink r:id="rId14">
              <w:r>
                <w:rPr>
                  <w:color w:val="2F5597"/>
                  <w:u w:val="single"/>
                  <w:rFonts w:ascii="Arial" w:hAnsi="Arial"/>
                  <w:sz w:val="18"/>
                </w:rPr>
                <w:t>Official source</w:t>
              </w:r>
            </w:hyperlink>
          </w:p>
        </w:tc>
      </w:tr>
      <w:tr>
        <w:tc>
          <w:tcPr>
            <w:tcW w:type="dxa" w:w="4392"/>
            <w:tcMar>
              <w:top w:w="80" w:type="dxa"/>
              <w:start w:w="90" w:type="dxa"/>
              <w:bottom w:w="80" w:type="dxa"/>
              <w:end w:w="90" w:type="dxa"/>
            </w:tcMar>
          </w:tcPr>
          <w:p>
            <w:pPr>
              <w:spacing w:after="0"/>
            </w:pPr>
            <w:r>
              <w:rPr>
                <w:rFonts w:ascii="Arial" w:hAnsi="Arial"/>
                <w:b w:val="0"/>
                <w:sz w:val="16"/>
              </w:rPr>
              <w:t>L4 - European Convention on Human Rights</w:t>
            </w:r>
          </w:p>
        </w:tc>
        <w:tc>
          <w:tcPr>
            <w:tcW w:type="dxa" w:w="3096"/>
            <w:tcMar>
              <w:top w:w="80" w:type="dxa"/>
              <w:start w:w="90" w:type="dxa"/>
              <w:bottom w:w="80" w:type="dxa"/>
              <w:end w:w="90" w:type="dxa"/>
            </w:tcMar>
          </w:tcPr>
          <w:p>
            <w:pPr>
              <w:spacing w:after="0"/>
            </w:pPr>
            <w:r>
              <w:rPr>
                <w:rFonts w:ascii="Arial" w:hAnsi="Arial"/>
                <w:sz w:val="16"/>
              </w:rPr>
              <w:t>Articles 2, 3, 8, 13 and 14</w:t>
            </w:r>
          </w:p>
        </w:tc>
        <w:tc>
          <w:tcPr>
            <w:tcW w:type="dxa" w:w="1800"/>
            <w:tcMar>
              <w:top w:w="80" w:type="dxa"/>
              <w:start w:w="90" w:type="dxa"/>
              <w:bottom w:w="80" w:type="dxa"/>
              <w:end w:w="90" w:type="dxa"/>
            </w:tcMar>
          </w:tcPr>
          <w:p>
            <w:pPr>
              <w:spacing w:after="0"/>
            </w:pPr>
            <w:hyperlink r:id="rId15">
              <w:r>
                <w:rPr>
                  <w:color w:val="2F5597"/>
                  <w:u w:val="single"/>
                  <w:rFonts w:ascii="Arial" w:hAnsi="Arial"/>
                  <w:sz w:val="18"/>
                </w:rPr>
                <w:t>Official source</w:t>
              </w:r>
            </w:hyperlink>
          </w:p>
        </w:tc>
      </w:tr>
      <w:tr>
        <w:tc>
          <w:tcPr>
            <w:tcW w:type="dxa" w:w="4392"/>
            <w:tcMar>
              <w:top w:w="80" w:type="dxa"/>
              <w:start w:w="90" w:type="dxa"/>
              <w:bottom w:w="80" w:type="dxa"/>
              <w:end w:w="90" w:type="dxa"/>
            </w:tcMar>
          </w:tcPr>
          <w:p>
            <w:pPr>
              <w:spacing w:after="0"/>
            </w:pPr>
            <w:r>
              <w:rPr>
                <w:rFonts w:ascii="Arial" w:hAnsi="Arial"/>
                <w:b w:val="0"/>
                <w:sz w:val="16"/>
              </w:rPr>
              <w:t>L5 - ECtHR Guide on Article 2 - Right to life</w:t>
            </w:r>
          </w:p>
        </w:tc>
        <w:tc>
          <w:tcPr>
            <w:tcW w:type="dxa" w:w="3096"/>
            <w:tcMar>
              <w:top w:w="80" w:type="dxa"/>
              <w:start w:w="90" w:type="dxa"/>
              <w:bottom w:w="80" w:type="dxa"/>
              <w:end w:w="90" w:type="dxa"/>
            </w:tcMar>
          </w:tcPr>
          <w:p>
            <w:pPr>
              <w:spacing w:after="0"/>
            </w:pPr>
            <w:r>
              <w:rPr>
                <w:rFonts w:ascii="Arial" w:hAnsi="Arial"/>
                <w:sz w:val="16"/>
              </w:rPr>
              <w:t>Positive obligations; real and immediate risk; self-harm</w:t>
            </w:r>
          </w:p>
        </w:tc>
        <w:tc>
          <w:tcPr>
            <w:tcW w:type="dxa" w:w="1800"/>
            <w:tcMar>
              <w:top w:w="80" w:type="dxa"/>
              <w:start w:w="90" w:type="dxa"/>
              <w:bottom w:w="80" w:type="dxa"/>
              <w:end w:w="90" w:type="dxa"/>
            </w:tcMar>
          </w:tcPr>
          <w:p>
            <w:pPr>
              <w:spacing w:after="0"/>
            </w:pPr>
            <w:hyperlink r:id="rId16">
              <w:r>
                <w:rPr>
                  <w:color w:val="2F5597"/>
                  <w:u w:val="single"/>
                  <w:rFonts w:ascii="Arial" w:hAnsi="Arial"/>
                  <w:sz w:val="18"/>
                </w:rPr>
                <w:t>Official source</w:t>
              </w:r>
            </w:hyperlink>
          </w:p>
        </w:tc>
      </w:tr>
      <w:tr>
        <w:tc>
          <w:tcPr>
            <w:tcW w:type="dxa" w:w="4392"/>
            <w:tcMar>
              <w:top w:w="80" w:type="dxa"/>
              <w:start w:w="90" w:type="dxa"/>
              <w:bottom w:w="80" w:type="dxa"/>
              <w:end w:w="90" w:type="dxa"/>
            </w:tcMar>
          </w:tcPr>
          <w:p>
            <w:pPr>
              <w:spacing w:after="0"/>
            </w:pPr>
            <w:r>
              <w:rPr>
                <w:rFonts w:ascii="Arial" w:hAnsi="Arial"/>
                <w:b w:val="0"/>
                <w:sz w:val="16"/>
              </w:rPr>
              <w:t>L6 - ECtHR Guide on Article 3 - Prohibition of torture</w:t>
            </w:r>
          </w:p>
        </w:tc>
        <w:tc>
          <w:tcPr>
            <w:tcW w:type="dxa" w:w="3096"/>
            <w:tcMar>
              <w:top w:w="80" w:type="dxa"/>
              <w:start w:w="90" w:type="dxa"/>
              <w:bottom w:w="80" w:type="dxa"/>
              <w:end w:w="90" w:type="dxa"/>
            </w:tcMar>
          </w:tcPr>
          <w:p>
            <w:pPr>
              <w:spacing w:after="0"/>
            </w:pPr>
            <w:r>
              <w:rPr>
                <w:rFonts w:ascii="Arial" w:hAnsi="Arial"/>
                <w:sz w:val="16"/>
              </w:rPr>
              <w:t>Positive obligations and effective investigation</w:t>
            </w:r>
          </w:p>
        </w:tc>
        <w:tc>
          <w:tcPr>
            <w:tcW w:type="dxa" w:w="1800"/>
            <w:tcMar>
              <w:top w:w="80" w:type="dxa"/>
              <w:start w:w="90" w:type="dxa"/>
              <w:bottom w:w="80" w:type="dxa"/>
              <w:end w:w="90" w:type="dxa"/>
            </w:tcMar>
          </w:tcPr>
          <w:p>
            <w:pPr>
              <w:spacing w:after="0"/>
            </w:pPr>
            <w:hyperlink r:id="rId17">
              <w:r>
                <w:rPr>
                  <w:color w:val="2F5597"/>
                  <w:u w:val="single"/>
                  <w:rFonts w:ascii="Arial" w:hAnsi="Arial"/>
                  <w:sz w:val="18"/>
                </w:rPr>
                <w:t>Official source</w:t>
              </w:r>
            </w:hyperlink>
          </w:p>
        </w:tc>
      </w:tr>
      <w:tr>
        <w:tc>
          <w:tcPr>
            <w:tcW w:type="dxa" w:w="4392"/>
            <w:tcMar>
              <w:top w:w="80" w:type="dxa"/>
              <w:start w:w="90" w:type="dxa"/>
              <w:bottom w:w="80" w:type="dxa"/>
              <w:end w:w="90" w:type="dxa"/>
            </w:tcMar>
          </w:tcPr>
          <w:p>
            <w:pPr>
              <w:spacing w:after="0"/>
            </w:pPr>
            <w:r>
              <w:rPr>
                <w:rFonts w:ascii="Arial" w:hAnsi="Arial"/>
                <w:b w:val="0"/>
                <w:sz w:val="16"/>
              </w:rPr>
              <w:t>L7 - International Covenant on Civil and Political Rights</w:t>
            </w:r>
          </w:p>
        </w:tc>
        <w:tc>
          <w:tcPr>
            <w:tcW w:type="dxa" w:w="3096"/>
            <w:tcMar>
              <w:top w:w="80" w:type="dxa"/>
              <w:start w:w="90" w:type="dxa"/>
              <w:bottom w:w="80" w:type="dxa"/>
              <w:end w:w="90" w:type="dxa"/>
            </w:tcMar>
          </w:tcPr>
          <w:p>
            <w:pPr>
              <w:spacing w:after="0"/>
            </w:pPr>
            <w:r>
              <w:rPr>
                <w:rFonts w:ascii="Arial" w:hAnsi="Arial"/>
                <w:sz w:val="16"/>
              </w:rPr>
              <w:t>Articles 2(3), 6 and 7</w:t>
            </w:r>
          </w:p>
        </w:tc>
        <w:tc>
          <w:tcPr>
            <w:tcW w:type="dxa" w:w="1800"/>
            <w:tcMar>
              <w:top w:w="80" w:type="dxa"/>
              <w:start w:w="90" w:type="dxa"/>
              <w:bottom w:w="80" w:type="dxa"/>
              <w:end w:w="90" w:type="dxa"/>
            </w:tcMar>
          </w:tcPr>
          <w:p>
            <w:pPr>
              <w:spacing w:after="0"/>
            </w:pPr>
            <w:hyperlink r:id="rId18">
              <w:r>
                <w:rPr>
                  <w:color w:val="2F5597"/>
                  <w:u w:val="single"/>
                  <w:rFonts w:ascii="Arial" w:hAnsi="Arial"/>
                  <w:sz w:val="18"/>
                </w:rPr>
                <w:t>Official source</w:t>
              </w:r>
            </w:hyperlink>
          </w:p>
        </w:tc>
      </w:tr>
      <w:tr>
        <w:tc>
          <w:tcPr>
            <w:tcW w:type="dxa" w:w="4392"/>
            <w:tcMar>
              <w:top w:w="80" w:type="dxa"/>
              <w:start w:w="90" w:type="dxa"/>
              <w:bottom w:w="80" w:type="dxa"/>
              <w:end w:w="90" w:type="dxa"/>
            </w:tcMar>
          </w:tcPr>
          <w:p>
            <w:pPr>
              <w:spacing w:after="0"/>
            </w:pPr>
            <w:r>
              <w:rPr>
                <w:rFonts w:ascii="Arial" w:hAnsi="Arial"/>
                <w:b w:val="0"/>
                <w:sz w:val="16"/>
              </w:rPr>
              <w:t>L8 - International Covenant on Economic, Social and Cultural Rights</w:t>
            </w:r>
          </w:p>
        </w:tc>
        <w:tc>
          <w:tcPr>
            <w:tcW w:type="dxa" w:w="3096"/>
            <w:tcMar>
              <w:top w:w="80" w:type="dxa"/>
              <w:start w:w="90" w:type="dxa"/>
              <w:bottom w:w="80" w:type="dxa"/>
              <w:end w:w="90" w:type="dxa"/>
            </w:tcMar>
          </w:tcPr>
          <w:p>
            <w:pPr>
              <w:spacing w:after="0"/>
            </w:pPr>
            <w:r>
              <w:rPr>
                <w:rFonts w:ascii="Arial" w:hAnsi="Arial"/>
                <w:sz w:val="16"/>
              </w:rPr>
              <w:t>Articles 11 and 12</w:t>
            </w:r>
          </w:p>
        </w:tc>
        <w:tc>
          <w:tcPr>
            <w:tcW w:type="dxa" w:w="1800"/>
            <w:tcMar>
              <w:top w:w="80" w:type="dxa"/>
              <w:start w:w="90" w:type="dxa"/>
              <w:bottom w:w="80" w:type="dxa"/>
              <w:end w:w="90" w:type="dxa"/>
            </w:tcMar>
          </w:tcPr>
          <w:p>
            <w:pPr>
              <w:spacing w:after="0"/>
            </w:pPr>
            <w:hyperlink r:id="rId19">
              <w:r>
                <w:rPr>
                  <w:color w:val="2F5597"/>
                  <w:u w:val="single"/>
                  <w:rFonts w:ascii="Arial" w:hAnsi="Arial"/>
                  <w:sz w:val="18"/>
                </w:rPr>
                <w:t>Official source</w:t>
              </w:r>
            </w:hyperlink>
          </w:p>
        </w:tc>
      </w:tr>
      <w:tr>
        <w:tc>
          <w:tcPr>
            <w:tcW w:type="dxa" w:w="4392"/>
            <w:tcMar>
              <w:top w:w="80" w:type="dxa"/>
              <w:start w:w="90" w:type="dxa"/>
              <w:bottom w:w="80" w:type="dxa"/>
              <w:end w:w="90" w:type="dxa"/>
            </w:tcMar>
          </w:tcPr>
          <w:p>
            <w:pPr>
              <w:spacing w:after="0"/>
            </w:pPr>
            <w:r>
              <w:rPr>
                <w:rFonts w:ascii="Arial" w:hAnsi="Arial"/>
                <w:b w:val="0"/>
                <w:sz w:val="16"/>
              </w:rPr>
              <w:t>L9 - Convention against Torture</w:t>
            </w:r>
          </w:p>
        </w:tc>
        <w:tc>
          <w:tcPr>
            <w:tcW w:type="dxa" w:w="3096"/>
            <w:tcMar>
              <w:top w:w="80" w:type="dxa"/>
              <w:start w:w="90" w:type="dxa"/>
              <w:bottom w:w="80" w:type="dxa"/>
              <w:end w:w="90" w:type="dxa"/>
            </w:tcMar>
          </w:tcPr>
          <w:p>
            <w:pPr>
              <w:spacing w:after="0"/>
            </w:pPr>
            <w:r>
              <w:rPr>
                <w:rFonts w:ascii="Arial" w:hAnsi="Arial"/>
                <w:sz w:val="16"/>
              </w:rPr>
              <w:t>Articles 12, 13 and 16</w:t>
            </w:r>
          </w:p>
        </w:tc>
        <w:tc>
          <w:tcPr>
            <w:tcW w:type="dxa" w:w="1800"/>
            <w:tcMar>
              <w:top w:w="80" w:type="dxa"/>
              <w:start w:w="90" w:type="dxa"/>
              <w:bottom w:w="80" w:type="dxa"/>
              <w:end w:w="90" w:type="dxa"/>
            </w:tcMar>
          </w:tcPr>
          <w:p>
            <w:pPr>
              <w:spacing w:after="0"/>
            </w:pPr>
            <w:hyperlink r:id="rId20">
              <w:r>
                <w:rPr>
                  <w:color w:val="2F5597"/>
                  <w:u w:val="single"/>
                  <w:rFonts w:ascii="Arial" w:hAnsi="Arial"/>
                  <w:sz w:val="18"/>
                </w:rPr>
                <w:t>Official source</w:t>
              </w:r>
            </w:hyperlink>
          </w:p>
        </w:tc>
      </w:tr>
      <w:tr>
        <w:tc>
          <w:tcPr>
            <w:tcW w:type="dxa" w:w="4392"/>
            <w:tcMar>
              <w:top w:w="80" w:type="dxa"/>
              <w:start w:w="90" w:type="dxa"/>
              <w:bottom w:w="80" w:type="dxa"/>
              <w:end w:w="90" w:type="dxa"/>
            </w:tcMar>
          </w:tcPr>
          <w:p>
            <w:pPr>
              <w:spacing w:after="0"/>
            </w:pPr>
            <w:r>
              <w:rPr>
                <w:rFonts w:ascii="Arial" w:hAnsi="Arial"/>
                <w:b w:val="0"/>
                <w:sz w:val="16"/>
              </w:rPr>
              <w:t>L10 - Convention on the Rights of Persons with Disabilities</w:t>
            </w:r>
          </w:p>
        </w:tc>
        <w:tc>
          <w:tcPr>
            <w:tcW w:type="dxa" w:w="3096"/>
            <w:tcMar>
              <w:top w:w="80" w:type="dxa"/>
              <w:start w:w="90" w:type="dxa"/>
              <w:bottom w:w="80" w:type="dxa"/>
              <w:end w:w="90" w:type="dxa"/>
            </w:tcMar>
          </w:tcPr>
          <w:p>
            <w:pPr>
              <w:spacing w:after="0"/>
            </w:pPr>
            <w:r>
              <w:rPr>
                <w:rFonts w:ascii="Arial" w:hAnsi="Arial"/>
                <w:sz w:val="16"/>
              </w:rPr>
              <w:t>Articles 10, 13, 15, 17, 25 and 28</w:t>
            </w:r>
          </w:p>
        </w:tc>
        <w:tc>
          <w:tcPr>
            <w:tcW w:type="dxa" w:w="1800"/>
            <w:tcMar>
              <w:top w:w="80" w:type="dxa"/>
              <w:start w:w="90" w:type="dxa"/>
              <w:bottom w:w="80" w:type="dxa"/>
              <w:end w:w="90" w:type="dxa"/>
            </w:tcMar>
          </w:tcPr>
          <w:p>
            <w:pPr>
              <w:spacing w:after="0"/>
            </w:pPr>
            <w:hyperlink r:id="rId21">
              <w:r>
                <w:rPr>
                  <w:color w:val="2F5597"/>
                  <w:u w:val="single"/>
                  <w:rFonts w:ascii="Arial" w:hAnsi="Arial"/>
                  <w:sz w:val="18"/>
                </w:rPr>
                <w:t>Official source</w:t>
              </w:r>
            </w:hyperlink>
          </w:p>
        </w:tc>
      </w:tr>
    </w:tbl>
    <w:p>
      <w:pPr>
        <w:spacing w:after="0" w:line="259" w:lineRule="auto"/>
      </w:pPr>
      <w:r>
        <w:rPr>
          <w:rFonts w:ascii="Arial" w:hAnsi="Arial"/>
          <w:i/>
          <w:sz w:val="20"/>
        </w:rPr>
        <w:t>End of Report No. 11</w:t>
      </w:r>
    </w:p>
    <w:sectPr w:rsidR="00FC693F" w:rsidRPr="0006063C" w:rsidSect="00034616">
      <w:headerReference w:type="default" r:id="rId9"/>
      <w:footerReference w:type="default" r:id="rId10"/>
      <w:pgSz w:w="11906" w:h="16838"/>
      <w:pgMar w:top="1020" w:right="1077" w:bottom="935" w:left="1077"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color w:val="404040"/>
        <w:sz w:val="15"/>
      </w:rPr>
      <w:t xml:space="preserve">AI-assisted legal-documentary analysis | Page </w:t>
    </w:r>
    <w:r>
      <w:rPr>
        <w:rFonts w:ascii="Arial" w:hAnsi="Arial"/>
        <w:color w:val="404040"/>
        <w:sz w:val="15"/>
      </w:rPr>
      <w:fldChar w:fldCharType="begin"/>
      <w:instrText xml:space="preserve">PAGE</w:instrText>
      <w:fldChar w:fldCharType="end"/>
    </w:r>
    <w:r>
      <w:rPr>
        <w:rFonts w:ascii="Arial" w:hAnsi="Arial"/>
        <w:color w:val="404040"/>
        <w:sz w:val="15"/>
      </w:rPr>
      <w:t xml:space="preserve"> of </w:t>
    </w:r>
    <w:r>
      <w:rPr>
        <w:rFonts w:ascii="Arial" w:hAnsi="Arial"/>
        <w:color w:val="404040"/>
        <w:sz w:val="15"/>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
      <w:rPr>
        <w:rFonts w:ascii="Arial" w:hAnsi="Arial"/>
        <w:b/>
        <w:color w:val="7F6000"/>
        <w:sz w:val="15"/>
      </w:rPr>
      <w:t>CONFIDENTIAL - SENSITIVE MEDICAL AND PERSONAL INFORMATION</w:t>
    </w:r>
  </w:p>
  <w:p>
    <w:pPr>
      <w:spacing w:after="0"/>
      <w:jc w:val="center"/>
    </w:pPr>
    <w:r>
      <w:rPr>
        <w:rFonts w:ascii="Arial" w:hAnsi="Arial"/>
        <w:color w:val="404040"/>
        <w:sz w:val="15"/>
      </w:rPr>
      <w:t>Report No. 11 | GPT-HR/DE/IR-RAPHAELS-011/2026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2F5597"/>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7365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b/>
      <w:i/>
      <w:iCs/>
      <w:color w:val="404040"/>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videnceNote">
    <w:name w:val="Evidence Note"/>
    <w:pPr>
      <w:spacing w:after="60" w:line="240" w:lineRule="auto"/>
    </w:pPr>
    <w:rPr>
      <w:rFonts w:ascii="Arial" w:hAnsi="Arial"/>
      <w:color w:val="404040"/>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gesetze-im-internet.de/englisch_gg/englisch_gg.html" TargetMode="External"/><Relationship Id="rId13" Type="http://schemas.openxmlformats.org/officeDocument/2006/relationships/hyperlink" Target="https://www.gesetze-im-internet.de/englisch_stgb/englisch_stgb.html" TargetMode="External"/><Relationship Id="rId14" Type="http://schemas.openxmlformats.org/officeDocument/2006/relationships/hyperlink" Target="https://www.gesetze-im-internet.de/englisch_bgb/englisch_bgb.html" TargetMode="External"/><Relationship Id="rId15" Type="http://schemas.openxmlformats.org/officeDocument/2006/relationships/hyperlink" Target="https://www.echr.coe.int/documents/d/echr/convention_ENG" TargetMode="External"/><Relationship Id="rId16" Type="http://schemas.openxmlformats.org/officeDocument/2006/relationships/hyperlink" Target="https://ks.echr.coe.int/documents/d/echr-ks/guide_art_2_eng" TargetMode="External"/><Relationship Id="rId17" Type="http://schemas.openxmlformats.org/officeDocument/2006/relationships/hyperlink" Target="https://ks.echr.coe.int/documents/d/echr-ks/guide_art_3_eng" TargetMode="External"/><Relationship Id="rId18" Type="http://schemas.openxmlformats.org/officeDocument/2006/relationships/hyperlink" Target="https://www.ohchr.org/sites/default/files/Documents/ProfessionalInterest/ccpr.pdf" TargetMode="External"/><Relationship Id="rId19" Type="http://schemas.openxmlformats.org/officeDocument/2006/relationships/hyperlink" Target="https://www.ohchr.org/sites/default/files/Documents/ProfessionalInterest/cescr.pdf" TargetMode="External"/><Relationship Id="rId20" Type="http://schemas.openxmlformats.org/officeDocument/2006/relationships/hyperlink" Target="https://www.ohchr.org/sites/default/files/Documents/ProfessionalInterest/cat.pdf" TargetMode="External"/><Relationship Id="rId21" Type="http://schemas.openxmlformats.org/officeDocument/2006/relationships/hyperlink" Target="https://www.ohchr.org/sites/default/files/Documents/HRBodies/CRPD/CRPD_E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ChatGPT AI-Assisted Legal Analysis Report No. 11 - Raphaels-Werk</dc:title>
  <dc:subject>Institutional receipt of a specific suicide warning and evidence submission, April 2009</dc:subject>
  <dc:creator>AI-assisted legal-documentary analysis</dc:creator>
  <cp:keywords>Raphaels-Werk; suicide warning; documentary evidence; human rights; legal analysis</cp:keywords>
  <dc:description>Prepared from the uploaded one-page source and official legal texts.</dc:description>
  <cp:lastModifiedBy/>
  <cp:revision>1</cp:revision>
  <dcterms:created xsi:type="dcterms:W3CDTF">2013-12-23T23:15:00Z</dcterms:created>
  <dcterms:modified xsi:type="dcterms:W3CDTF">2013-12-23T23:15:00Z</dcterms:modified>
  <cp:category/>
</cp:coreProperties>
</file>