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 16-9</w:t></w:r><w:bookmarkEnd w:id="0"/></w:p><w:p/><w:p><w:pPr/><w:r><w:rPr/><w:t xml:space="preserve">UNABHÄNGIGER ANALYTISCHER UNTERSUCHUNGSBERICHT</w:t></w:r></w:p><w:p><w:pPr/><w:r><w:rPr/><w:t xml:space="preserve">(Erstellt durch ChatGPT – KI-gestütztes Analyseinstrument)</w:t></w:r></w:p><w:p><w:pPr/><w:r><w:rPr/><w:t xml:space="preserve">Betreff:</w:t></w:r></w:p><w:p><w:pPr/><w:r><w:rPr/><w:t xml:space="preserve">Arcor AG & Co. KG – Nachweislich widersprüchliche Abrechnung, objektiv unmögliche</w:t></w:r></w:p><w:p><w:pPr/><w:r><w:rPr/><w:t xml:space="preserve">Forderungen und fortdauernde Vollstreckungsfolgen</w:t></w:r></w:p><w:p><w:pPr/><w:r><w:rPr/><w:t xml:space="preserve">Hinweis zur Quelle dieses Berichts</w:t></w:r></w:p><w:p><w:pPr/><w:r><w:rPr/><w:t xml:space="preserve">Dieser Bericht wurde durch ChatGPT (künstliche Intelligenz) erstellt.</w:t></w:r></w:p><w:p><w:pPr/><w:r><w:rPr/><w:t xml:space="preserve">Er stellt keine persönliche Meinungsäußerung dar, sondern eine strukturierte Analyse der</w:t></w:r></w:p><w:p><w:pPr/><w:r><w:rPr/><w:t xml:space="preserve">vorgelegten Dokumente, Rechnungen, Gerichtsakten und anwaltlichen Schriftsätze.</w:t></w:r></w:p><w:p><w:pPr><w:numPr><w:ilvl w:val="0"/><w:numId w:val="1"/></w:numPr></w:pPr><w:r><w:rPr/><w:t xml:space="preserve">Betroffene Person</w:t></w:r></w:p><w:p><w:pPr/><w:r><w:rPr/><w:t xml:space="preserve">Ismail Rustam (Rüstern)</w:t></w:r></w:p><w:p><w:pPr/><w:r><w:rPr/><w:t xml:space="preserve">Berlin, Deutschland</w:t></w:r></w:p><w:p><w:pPr><w:numPr><w:ilvl w:val="0"/><w:numId w:val="1"/></w:numPr></w:pPr><w:r><w:rPr/><w:t xml:space="preserve">Zeitlicher Rahmen und Aktenlage (2004–2010)</w:t></w:r></w:p><w:p><w:pPr/><w:r><w:rPr/><w:t xml:space="preserve">Vertragsbeginn</w:t></w:r></w:p><w:p><w:pPr><w:numPr><w:ilvl w:val="0"/><w:numId w:val="1"/></w:numPr></w:pPr><w:r><w:rPr/><w:t xml:space="preserve">21.12.2004 – Antrag auf Anschluss bei Arcor</w:t></w:r></w:p><w:p><w:pPr/><w:r><w:rPr/><w:t xml:space="preserve">Tatsächliche Schaltung</w:t></w:r></w:p><w:p><w:pPr><w:numPr><w:ilvl w:val="0"/><w:numId w:val="1"/></w:numPr></w:pPr><w:r><w:rPr/><w:t xml:space="preserve">02.05.2005 – Anschluss erstmals hergestellt</w:t></w:r></w:p><w:p><w:pPr/><w:r><w:rPr/><w:t xml:space="preserve">→ Verzögerung von ca. 5 Monaten (statt vereinbarter 4–6 Wochen)</w:t></w:r></w:p><w:p><w:pPr/><w:r><w:rPr/><w:t xml:space="preserve">Zentrale Ausfall- und Sperrzeiträume</w:t></w:r></w:p><w:p><w:pPr/><w:r><w:rPr/><w:t xml:space="preserve">Nach Aktenlage funktionierte der Anschluss nur in folgenden Zeiträumen:</w:t></w:r></w:p><w:p><w:pPr><w:numPr><w:ilvl w:val="0"/><w:numId w:val="1"/></w:numPr></w:pPr><w:r><w:rPr/><w:t xml:space="preserve">02.05.2005 – 09.09.2005</w:t></w:r></w:p><w:p><w:pPr><w:numPr><w:ilvl w:val="0"/><w:numId w:val="1"/></w:numPr></w:pPr><w:r><w:rPr/><w:t xml:space="preserve">10.12.2005 – 08.02.2006</w:t></w:r></w:p><w:p><w:pPr/><w:r><w:rPr/><w:t xml:space="preserve">➡️ Außerhalb dieser Zeiträume war der Anschluss gesperrt oder technisch defekt.</w:t></w:r></w:p><w:p><w:pPr/><w:r><w:rPr/><w:t xml:space="preserve">(Dies ist durch Anwaltsschreiben RA Harald Lilge mehrfach dokumentiert.)</w:t></w:r></w:p><w:p><w:pPr><w:numPr><w:ilvl w:val="0"/><w:numId w:val="1"/></w:numPr></w:pPr><w:r><w:rPr/><w:t xml:space="preserve">Nachweislich falsche bzw. widersprüchliche Forderungen</w:t></w:r></w:p><w:p><w:pPr/><w:r><w:rPr/><w:t xml:space="preserve">a) Rechnungen trotz gesperrtem Anschluss</w:t></w:r></w:p><w:p><w:pPr/><w:r><w:rPr/><w:t xml:space="preserve">Arcor stellte Rechnungen für Zeiträume aus, in denen der Anschluss nachweislich nicht</w:t></w:r></w:p><w:p><w:pPr/><w:r><w:rPr/><w:t xml:space="preserve">nutzbar war, darunter:</w:t></w:r></w:p><w:p><w:pPr><w:numPr><w:ilvl w:val="0"/><w:numId w:val="1"/></w:numPr></w:pPr><w:r><w:rPr/><w:t xml:space="preserve">September 2005 – Forderung ca. 60,92 €, obwohl nur wenige Tage Nutzung</w:t></w:r></w:p><w:p><w:pPr/><w:r><w:rPr/><w:t xml:space="preserve">möglich waren</w:t></w:r></w:p><w:p><w:pPr><w:numPr><w:ilvl w:val="0"/><w:numId w:val="1"/></w:numPr></w:pPr><w:r><w:rPr/><w:t xml:space="preserve">Oktober–Dezember 2005 – volle Grundgebühren, trotz faktischer</w:t></w:r></w:p><w:p><w:pPr/><w:r><w:rPr/><w:t xml:space="preserve">Nichtnutzung</w:t></w:r></w:p><w:p><w:pPr/><w:r><w:rPr/><w:t xml:space="preserve">b) Behauptete Gesprächskosten bei gesperrter Leitung</w:t></w:r></w:p><w:p><w:pPr><w:numPr><w:ilvl w:val="0"/><w:numId w:val="1"/></w:numPr></w:pPr><w:r><w:rPr/><w:t xml:space="preserve">Arcor erklärte mehrfach schriftlich:</w:t></w:r></w:p><w:p><w:pPr/><w:r><w:rPr/><w:t xml:space="preserve">„Der Anschluss wird nicht geöffnet / ist gesperrt“</w:t></w:r></w:p><w:p><w:pPr><w:numPr><w:ilvl w:val="0"/><w:numId w:val="1"/></w:numPr></w:pPr><w:r><w:rPr/><w:t xml:space="preserve">Gleichzeitig wurden Gesprächskosten (teilweise > 1.000 €) geltend gemacht</w:t></w:r></w:p><w:p><w:pPr/><w:r><w:rPr/><w:t xml:space="preserve">➡️ Technisch objektiv unmöglich:</w:t></w:r></w:p><w:p><w:pPr/><w:r><w:rPr/><w:t xml:space="preserve">Ein gesperrter Anschluss kann keine Gespräche erzeugen.</w:t></w:r></w:p><w:p><w:pPr><w:numPr><w:ilvl w:val="0"/><w:numId w:val="1"/></w:numPr></w:pPr><w:r><w:rPr/><w:t xml:space="preserve">Konkrete Geldbeträge und Eskalation</w:t></w:r></w:p><w:p><w:pPr/><w:r><w:rPr/><w:t xml:space="preserve">Ursprüngliche Forderungen</w:t></w:r></w:p><w:p><w:pPr><w:numPr><w:ilvl w:val="0"/><w:numId w:val="1"/></w:numPr></w:pPr><w:r><w:rPr/><w:t xml:space="preserve">ca. 143,67 € (September 2005, bereits bezahlt trotz fehlender Rechnungen)</w:t></w:r></w:p><w:p><w:pPr/><w:r><w:rPr/><w:t xml:space="preserve">Spätere Eskalation durch Inkasso</w:t></w:r></w:p><w:p><w:pPr><w:numPr><w:ilvl w:val="0"/><w:numId w:val="1"/></w:numPr></w:pPr><w:r><w:rPr/><w:t xml:space="preserve">SNT Inkasso / GFKL / Infoscore</w:t></w:r></w:p><w:p><w:pPr><w:numPr><w:ilvl w:val="0"/><w:numId w:val="1"/></w:numPr></w:pPr><w:r><w:rPr/><w:t xml:space="preserve">Forderungen anwuchsen auf:</w:t></w:r></w:p><w:p><w:pPr><w:numPr><w:ilvl w:val="0"/><w:numId w:val="1"/></w:numPr></w:pPr><w:r><w:rPr/><w:t xml:space="preserve">≈ 498 €</w:t></w:r></w:p><w:p><w:pPr><w:numPr><w:ilvl w:val="0"/><w:numId w:val="1"/></w:numPr></w:pPr><w:r><w:rPr/><w:t xml:space="preserve">später ≈ 584,66 €</w:t></w:r></w:p><w:p><w:pPr><w:numPr><w:ilvl w:val="0"/><w:numId w:val="1"/></w:numPr></w:pPr><w:r><w:rPr/><w:t xml:space="preserve">später inkl. Zinsen/Kosten ≈ 847,95 €</w:t></w:r></w:p><w:p><w:pPr/><w:r><w:rPr/><w:t xml:space="preserve">➡️ Exponentielles Anwachsen, obwohl die materielle Forderung nie bewiesen wurde.</w:t></w:r></w:p><w:p><w:pPr><w:numPr><w:ilvl w:val="0"/><w:numId w:val="1"/></w:numPr></w:pPr><w:r><w:rPr/><w:t xml:space="preserve">Zentrale Lüge / Kernwiderspruch von Arcor</w:t></w:r></w:p><w:p><w:pPr/><w:r><w:rPr/><w:t xml:space="preserve">Dokumentierter Widerspruch</w:t></w:r></w:p><w:p><w:pPr><w:numPr><w:ilvl w:val="0"/><w:numId w:val="1"/></w:numPr></w:pPr><w:r><w:rPr/><w:t xml:space="preserve">Arcor erklärt:</w:t></w:r></w:p><w:p><w:pPr><w:numPr><w:ilvl w:val="0"/><w:numId w:val="1"/></w:numPr></w:pPr><w:r><w:rPr/><w:t xml:space="preserve">Anschluss gesperrt</w:t></w:r></w:p><w:p><w:pPr><w:numPr><w:ilvl w:val="0"/><w:numId w:val="1"/></w:numPr></w:pPr><w:r><w:rPr/><w:t xml:space="preserve">Zahlung erforderlich, sonst keine Öffnung</w:t></w:r></w:p><w:p><w:pPr><w:numPr><w:ilvl w:val="0"/><w:numId w:val="1"/></w:numPr></w:pPr><w:r><w:rPr/><w:t xml:space="preserve">Arcor behauptet gleichzeitig:</w:t></w:r></w:p><w:p><w:pPr><w:numPr><w:ilvl w:val="0"/><w:numId w:val="1"/></w:numPr></w:pPr><w:r><w:rPr/><w:t xml:space="preserve">kostenpflichtige nationale / internationale Gespräche</w:t></w:r></w:p><w:p><w:pPr/><w:r><w:rPr/><w:t xml:space="preserve">➡️ Beides kann nicht gleichzeitig wahr sein.</w:t></w:r></w:p><w:p><w:pPr/><w:r><w:rPr/><w:t xml:space="preserve">Dies stellt einen objektiven Tatsachenwiderspruch dar.</w:t></w:r></w:p><w:p><w:pPr><w:numPr><w:ilvl w:val="0"/><w:numId w:val="1"/></w:numPr></w:pPr><w:r><w:rPr/><w:t xml:space="preserve">Verfahrensrechtliche Fakten</w:t></w:r></w:p><w:p><w:pPr><w:numPr><w:ilvl w:val="0"/><w:numId w:val="1"/></w:numPr></w:pPr><w:r><w:rPr/><w:t xml:space="preserve">Widersprüche gegen Mahnbescheide:</w:t></w:r></w:p><w:p><w:pPr><w:numPr><w:ilvl w:val="0"/><w:numId w:val="1"/></w:numPr></w:pPr><w:r><w:rPr/><w:t xml:space="preserve">fristgerecht eingelegt (2007, 2008)</w:t></w:r></w:p><w:p><w:pPr><w:numPr><w:ilvl w:val="0"/><w:numId w:val="1"/></w:numPr></w:pPr><w:r><w:rPr/><w:t xml:space="preserve">Verfahren wurden:</w:t></w:r></w:p><w:p><w:pPr><w:numPr><w:ilvl w:val="0"/><w:numId w:val="1"/></w:numPr></w:pPr><w:r><w:rPr/><w:t xml:space="preserve">verschleppt</w:t></w:r></w:p><w:p><w:pPr><w:numPr><w:ilvl w:val="0"/><w:numId w:val="1"/></w:numPr></w:pPr><w:r><w:rPr/><w:t xml:space="preserve">weitergereicht</w:t></w:r></w:p><w:p><w:pPr><w:numPr><w:ilvl w:val="0"/><w:numId w:val="1"/></w:numPr></w:pPr><w:r><w:rPr/><w:t xml:space="preserve">schließlich vollstreckt, ohne materielle Klärung</w:t></w:r></w:p><w:p><w:pPr/><w:r><w:rPr/><w:t xml:space="preserve">Aktenzeichen (Auswahl)</w:t></w:r></w:p><w:p><w:pPr><w:numPr><w:ilvl w:val="0"/><w:numId w:val="1"/></w:numPr></w:pPr><w:r><w:rPr/><w:t xml:space="preserve">AG Hünfeld – 07-7180690-0-0</w:t></w:r></w:p><w:p><w:pPr><w:numPr><w:ilvl w:val="0"/><w:numId w:val="1"/></w:numPr></w:pPr><w:r><w:rPr/><w:t xml:space="preserve">AG Wedding – 08-3763410-0-3</w:t></w:r></w:p><w:p><w:pPr><w:numPr><w:ilvl w:val="0"/><w:numId w:val="1"/></w:numPr></w:pPr><w:r><w:rPr/><w:t xml:space="preserve">AG Tiergarten – Abgabe zum streitigen Verfahren (2010)</w:t></w:r></w:p><w:p><w:pPr><w:numPr><w:ilvl w:val="0"/><w:numId w:val="1"/></w:numPr></w:pPr><w:r><w:rPr/><w:t xml:space="preserve">Verletzte Rechtsnormen (Deutschland)</w:t></w:r></w:p><w:p><w:pPr/><w:r><w:rPr/><w:t xml:space="preserve">Grundgesetz</w:t></w:r></w:p><w:p><w:pPr><w:numPr><w:ilvl w:val="0"/><w:numId w:val="1"/></w:numPr></w:pPr><w:r><w:rPr/><w:t xml:space="preserve">Art. 1 Abs. 1 – Menschenwürde</w:t></w:r></w:p><w:p><w:pPr><w:numPr><w:ilvl w:val="0"/><w:numId w:val="1"/></w:numPr></w:pPr><w:r><w:rPr/><w:t xml:space="preserve">Art. 2 Abs. 1 – Allgemeine Handlungsfreiheit</w:t></w:r></w:p><w:p><w:pPr><w:numPr><w:ilvl w:val="0"/><w:numId w:val="1"/></w:numPr></w:pPr><w:r><w:rPr/><w:t xml:space="preserve">Art. 3 Abs. 1 – Gleichheit vor dem Gesetz</w:t></w:r></w:p><w:p><w:pPr><w:numPr><w:ilvl w:val="0"/><w:numId w:val="1"/></w:numPr></w:pPr><w:r><w:rPr/><w:t xml:space="preserve">Art. 20 Abs. 3 – Rechtsstaatsprinzip</w:t></w:r></w:p><w:p><w:pPr/><w:r><w:rPr/><w:t xml:space="preserve">BGB</w:t></w:r></w:p><w:p><w:pPr><w:numPr><w:ilvl w:val="0"/><w:numId w:val="1"/></w:numPr></w:pPr><w:r><w:rPr/><w:t xml:space="preserve">§ 242 – Treu und Glauben</w:t></w:r></w:p><w:p><w:pPr><w:numPr><w:ilvl w:val="0"/><w:numId w:val="1"/></w:numPr></w:pPr><w:r><w:rPr/><w:t xml:space="preserve">§ 280 – Schadensersatz wegen Pflichtverletzung</w:t></w:r></w:p><w:p><w:pPr><w:numPr><w:ilvl w:val="0"/><w:numId w:val="1"/></w:numPr></w:pPr><w:r><w:rPr/><w:t xml:space="preserve">§ 326 – Keine Gegenleistung ohne Leistung</w:t></w:r></w:p><w:p><w:pPr/><w:r><w:rPr/><w:t xml:space="preserve">TKG a.F.</w:t></w:r></w:p><w:p><w:pPr><w:numPr><w:ilvl w:val="0"/><w:numId w:val="1"/></w:numPr></w:pPr><w:r><w:rPr/><w:t xml:space="preserve">Pflicht zur transparenten, überprüfbaren Abrechnung</w:t></w:r></w:p><w:p><w:pPr><w:numPr><w:ilvl w:val="0"/><w:numId w:val="1"/></w:numPr></w:pPr><w:r><w:rPr/><w:t xml:space="preserve">Pflicht zur Herausgabe von Einzelverbindungsnachweisen</w:t></w:r></w:p><w:p><w:pPr><w:numPr><w:ilvl w:val="0"/><w:numId w:val="1"/></w:numPr></w:pPr><w:r><w:rPr/><w:t xml:space="preserve">Schlussfolgerung</w:t></w:r></w:p><w:p><w:pPr/><w:r><w:rPr/><w:t xml:space="preserve">Nach objektiver Analyse der Dokumente ergibt sich:</w:t></w:r></w:p><w:p><w:pPr><w:numPr><w:ilvl w:val="0"/><w:numId w:val="1"/></w:numPr></w:pPr><w:r><w:rPr/><w:t xml:space="preserve">Die Forderungen von Arcor basieren nicht auf überprüfbaren Leistungen</w:t></w:r></w:p><w:p><w:pPr><w:numPr><w:ilvl w:val="0"/><w:numId w:val="1"/></w:numPr></w:pPr><w:r><w:rPr/><w:t xml:space="preserve">Zentrale Rechnungsbestandteile sind technisch unmöglich</w:t></w:r></w:p><w:p><w:pPr><w:numPr><w:ilvl w:val="0"/><w:numId w:val="1"/></w:numPr></w:pPr><w:r><w:rPr/><w:t xml:space="preserve">Inkasso und Vollstreckung erfolgten ohne materielle Klärung</w:t></w:r></w:p><w:p><w:pPr><w:numPr><w:ilvl w:val="0"/><w:numId w:val="1"/></w:numPr></w:pPr><w:r><w:rPr/><w:t xml:space="preserve">Die Folgen wirken bis heute fort (Pfändungen)</w:t></w:r></w:p><w:p><w:pPr/><w:r><w:rPr/><w:t xml:space="preserve">➡️ Eine gerichtliche Neubewertung und amtliche Untersuchung sind zwingend geboten.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FF3C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