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16-3 </w:t>
      </w:r>
      <w:bookmarkEnd w:id="0"/>
    </w:p>
    <w:p/>
    <w:p>
      <w:pPr/>
      <w:r>
        <w:rPr/>
        <w:t xml:space="preserve">ChatGBT reporte PDF 02.11.1999</w:t>
      </w:r>
    </w:p>
    <w:p>
      <w:pPr/>
      <w:r>
        <w:rPr/>
        <w:t xml:space="preserve">Understood. You’re right to insist on English for UN bodies (and for most</w:t>
      </w:r>
    </w:p>
    <w:p>
      <w:pPr/>
      <w:r>
        <w:rPr/>
        <w:t xml:space="preserve">international submissions), and you’re also right to worry about</w:t>
      </w:r>
    </w:p>
    <w:p>
      <w:pPr/>
      <w:r>
        <w:rPr/>
        <w:t xml:space="preserve">“translation = losing meaning”.</w:t>
      </w:r>
    </w:p>
    <w:p>
      <w:pPr/>
      <w:r>
        <w:rPr/>
        <w:t xml:space="preserve">So I will do this the safe way:</w:t>
      </w:r>
    </w:p>
    <w:p>
      <w:pPr>
        <w:numPr>
          <w:ilvl w:val="0"/>
          <w:numId w:val="1"/>
        </w:numPr>
      </w:pPr>
      <w:r>
        <w:rPr/>
        <w:t xml:space="preserve">I provide an English version of the report without deleting any</w:t>
      </w:r>
    </w:p>
    <w:p>
      <w:pPr/>
      <w:r>
        <w:rPr/>
        <w:t xml:space="preserve">points (same numbering/structure, same case numbers, same</w:t>
      </w:r>
    </w:p>
    <w:p>
      <w:pPr/>
      <w:r>
        <w:rPr/>
        <w:t xml:space="preserve">citations, same wording logic).</w:t>
      </w:r>
    </w:p>
    <w:p>
      <w:pPr>
        <w:numPr>
          <w:ilvl w:val="0"/>
          <w:numId w:val="1"/>
        </w:numPr>
      </w:pPr>
      <w:r>
        <w:rPr/>
        <w:t xml:space="preserve">I also paste your original Azerbaijani text verbatim at the end,</w:t>
      </w:r>
    </w:p>
    <w:p>
      <w:pPr/>
      <w:r>
        <w:rPr/>
        <w:t xml:space="preserve">so you can compare line-by-line and verify that nothing was</w:t>
      </w:r>
    </w:p>
    <w:p>
      <w:pPr/>
      <w:r>
        <w:rPr/>
        <w:t xml:space="preserve">“dropped”.</w:t>
      </w:r>
    </w:p>
    <w:p>
      <w:pPr>
        <w:numPr>
          <w:ilvl w:val="0"/>
          <w:numId w:val="1"/>
        </w:numPr>
      </w:pPr>
      <w:r>
        <w:rPr/>
        <w:t xml:space="preserve">Important transparency: in this chat, the uploaded PDFs are</w:t>
      </w:r>
    </w:p>
    <w:p>
      <w:pPr/>
      <w:r>
        <w:rPr/>
        <w:t xml:space="preserve">“Oca 21, Belge 734.pdf” and “Oca 21, Belge 752.pdf”.</w:t>
      </w:r>
    </w:p>
    <w:p>
      <w:pPr/>
      <w:r>
        <w:rPr/>
        <w:t xml:space="preserve">Your draft refers to three other PDFs (“Belge 450 / 423 / 46”). Since</w:t>
      </w:r>
    </w:p>
    <w:p>
      <w:pPr/>
      <w:r>
        <w:rPr/>
        <w:t xml:space="preserve">they are not uploaded here, the section below is a faithful English</w:t>
      </w:r>
    </w:p>
    <w:p>
      <w:pPr/>
      <w:r>
        <w:rPr/>
        <w:t xml:space="preserve">translation of your draft text (not a re-analysis of those three PDFs).</w:t>
      </w:r>
    </w:p>
    <w:p>
      <w:pPr/>
      <w:r>
        <w:rPr/>
        <w:t xml:space="preserve">If you upload those 3 PDFs here later, I can add page-by-page</w:t>
      </w:r>
    </w:p>
    <w:p>
      <w:pPr/>
      <w:r>
        <w:rPr/>
        <w:t xml:space="preserve">citations and make it fully “submission-ready”.</w:t>
      </w:r>
    </w:p>
    <w:p>
      <w:pPr/>
      <w:r>
        <w:rPr/>
        <w:t xml:space="preserve">⸻</w:t>
      </w:r>
    </w:p>
    <w:p>
      <w:pPr/>
      <w:r>
        <w:rPr/>
        <w:t xml:space="preserve">ENGLISH REPORT (verbatim translation of your draft; no points</w:t>
      </w:r>
    </w:p>
    <w:p>
      <w:pPr/>
      <w:r>
        <w:rPr/>
        <w:t xml:space="preserve">removed)</w:t>
      </w:r>
    </w:p>
    <w:p>
      <w:pPr/>
      <w:r>
        <w:rPr/>
        <w:t xml:space="preserve">ChatGPT’s 3-PDF analysis clearly showed that after 2000, biased</w:t>
      </w:r>
    </w:p>
    <w:p>
      <w:pPr/>
      <w:r>
        <w:rPr/>
        <w:t xml:space="preserve">obstacles were placed against the investigation of the 1998–1999 crime.</w:t>
      </w:r>
    </w:p>
    <w:p>
      <w:pPr/>
      <w:r>
        <w:rPr/>
        <w:t xml:space="preserve">Also, the 02.11.1999 criminal case was withdrawn from the court by the</w:t>
      </w:r>
    </w:p>
    <w:p>
      <w:pPr/>
      <w:r>
        <w:rPr/>
        <w:t xml:space="preserve">Betreuer (legal guardian). Likewise, no lawyer enters my complaints,</w:t>
      </w:r>
    </w:p>
    <w:p>
      <w:pPr/>
      <w:r>
        <w:rPr/>
        <w:t xml:space="preserve">because everyone who helped me was punished. Likewise, in the</w:t>
      </w:r>
    </w:p>
    <w:p>
      <w:pPr/>
      <w:r>
        <w:rPr/>
        <w:t xml:space="preserve">Bundestag correspondence, it is stated that lawyers, after getting</w:t>
      </w:r>
    </w:p>
    <w:p>
      <w:pPr/>
      <w:r>
        <w:rPr/>
        <w:t xml:space="preserve">acquainted with the case and signing a contract to take it, were forced to</w:t>
      </w:r>
    </w:p>
    <w:p>
      <w:pPr/>
      <w:r>
        <w:rPr/>
        <w:t xml:space="preserve">withdraw immediately, and my formal requests for an official lawyer from</w:t>
      </w:r>
    </w:p>
    <w:p>
      <w:pPr/>
      <w:r>
        <w:rPr/>
        <w:t xml:space="preserve">the courts were rejected with stamp and signature. In such a situation,</w:t>
      </w:r>
    </w:p>
    <w:p>
      <w:pPr/>
      <w:r>
        <w:rPr/>
        <w:t xml:space="preserve">how was I supposed to solve/open the crime?</w:t>
      </w:r>
    </w:p>
    <w:p>
      <w:pPr/>
      <w:r>
        <w:rPr/>
        <w:t xml:space="preserve">I can help you. The report below is based only on the content of the 3</w:t>
      </w:r>
    </w:p>
    <w:p>
      <w:pPr/>
      <w:r>
        <w:rPr/>
        <w:t xml:space="preserve">PDFs you provided and is prepared strictly from the perspective of</w:t>
      </w:r>
    </w:p>
    <w:p>
      <w:pPr/>
      <w:r>
        <w:rPr/>
        <w:t xml:space="preserve">international human-rights law (UN conventions + European Convention</w:t>
      </w:r>
    </w:p>
    <w:p>
      <w:pPr/>
      <w:r>
        <w:rPr/>
        <w:t xml:space="preserve">on Human Rights/ECHR + (where necessary) the EU Charter). I do not</w:t>
      </w:r>
    </w:p>
    <w:p>
      <w:pPr/>
      <w:r>
        <w:rPr/>
        <w:t xml:space="preserve">rely on national arguments such as “administrative practice”,</w:t>
      </w:r>
    </w:p>
    <w:p>
      <w:pPr/>
      <w:r>
        <w:rPr/>
        <w:t xml:space="preserve">“convenience”, or “budget” to justify violations.</w:t>
      </w:r>
    </w:p>
    <w:p>
      <w:pPr/>
      <w:r>
        <w:rPr/>
        <w:t xml:space="preserve">Note: This is legal information and a legal-argument structure; it is not</w:t>
      </w:r>
    </w:p>
    <w:p>
      <w:pPr/>
      <w:r>
        <w:rPr/>
        <w:t xml:space="preserve">formal legal advice by an attorney.</w:t>
      </w:r>
    </w:p>
    <w:p>
      <w:pPr/>
      <w:r>
        <w:rPr/>
        <w:t xml:space="preserve">⸻</w:t>
      </w:r>
    </w:p>
    <w:p>
      <w:pPr>
        <w:numPr>
          <w:ilvl w:val="0"/>
          <w:numId w:val="1"/>
        </w:numPr>
      </w:pPr>
      <w:r>
        <w:rPr/>
        <w:t xml:space="preserve">REPORT (English version)</w:t>
      </w:r>
    </w:p>
    <w:p>
      <w:pPr/>
      <w:r>
        <w:rPr/>
        <w:t xml:space="preserve">A. Documents reviewed (3 PDFs)</w:t>
      </w:r>
    </w:p>
    <w:p>
      <w:pPr>
        <w:numPr>
          <w:ilvl w:val="0"/>
          <w:numId w:val="1"/>
        </w:numPr>
      </w:pPr>
      <w:r>
        <w:rPr/>
        <w:t xml:space="preserve">“Belge 450.pdf” – 450 pages (mainly detention in Germany</w:t>
      </w:r>
    </w:p>
    <w:p>
      <w:pPr/>
      <w:r>
        <w:rPr/>
        <w:t xml:space="preserve">(Abschiebungshaft) and proceedings under AuslG, criminal case</w:t>
      </w:r>
    </w:p>
    <w:p>
      <w:pPr/>
      <w:r>
        <w:rPr/>
        <w:t xml:space="preserve">materials).</w:t>
      </w:r>
    </w:p>
    <w:p>
      <w:pPr>
        <w:numPr>
          <w:ilvl w:val="0"/>
          <w:numId w:val="1"/>
        </w:numPr>
      </w:pPr>
      <w:r>
        <w:rPr/>
        <w:t xml:space="preserve">“Belge 423.pdf” – 423 pages (Landgericht Berlin decision on</w:t>
      </w:r>
    </w:p>
    <w:p>
      <w:pPr/>
      <w:r>
        <w:rPr/>
        <w:t xml:space="preserve">“Wiederaufnahme”, subsequent civil claim, court fees,</w:t>
      </w:r>
    </w:p>
    <w:p>
      <w:pPr/>
      <w:r>
        <w:rPr/>
        <w:t xml:space="preserve">guardianship/Betreuung correspondence).</w:t>
      </w:r>
    </w:p>
    <w:p>
      <w:pPr>
        <w:numPr>
          <w:ilvl w:val="0"/>
          <w:numId w:val="1"/>
        </w:numPr>
      </w:pPr>
      <w:r>
        <w:rPr/>
        <w:t xml:space="preserve">“Belge 46.pdf” – 46 pages (media articles and statements:</w:t>
      </w:r>
    </w:p>
    <w:p>
      <w:pPr/>
      <w:r>
        <w:rPr/>
        <w:t xml:space="preserve">violence/torture allegations, statements about application to ECHR,</w:t>
      </w:r>
    </w:p>
    <w:p>
      <w:pPr/>
      <w:r>
        <w:rPr/>
        <w:t xml:space="preserve">the topic of EUR 91,456 costs).</w:t>
      </w:r>
    </w:p>
    <w:p>
      <w:pPr/>
      <w:r>
        <w:rPr/>
        <w:t xml:space="preserve">⸻</w:t>
      </w:r>
    </w:p>
    <w:p>
      <w:pPr/>
      <w:r>
        <w:rPr/>
        <w:t xml:space="preserve">B. Main domestic cases visible in the PDFs: case numbers and dates</w:t>
      </w:r>
    </w:p>
    <w:p>
      <w:pPr>
        <w:numPr>
          <w:ilvl w:val="0"/>
          <w:numId w:val="1"/>
        </w:numPr>
      </w:pPr>
      <w:r>
        <w:rPr/>
        <w:t xml:space="preserve">Deprivation of liberty / detention for the purpose of deportation (1998)</w:t>
      </w:r>
    </w:p>
    <w:p>
      <w:pPr>
        <w:numPr>
          <w:ilvl w:val="0"/>
          <w:numId w:val="1"/>
        </w:numPr>
      </w:pPr>
      <w:r>
        <w:rPr/>
        <w:t xml:space="preserve">Amtsgericht Schöneberg, file no.: 70 XIV 3148/98 B</w:t>
      </w:r>
    </w:p>
    <w:p>
      <w:pPr>
        <w:numPr>
          <w:ilvl w:val="0"/>
          <w:numId w:val="1"/>
        </w:numPr>
      </w:pPr>
      <w:r>
        <w:rPr/>
        <w:t xml:space="preserve">08.08.1998: the court noted “adequate communication is not</w:t>
      </w:r>
    </w:p>
    <w:p>
      <w:pPr/>
      <w:r>
        <w:rPr/>
        <w:t xml:space="preserve">possible” (language barrier) and ordered temporary deprivation of</w:t>
      </w:r>
    </w:p>
    <w:p>
      <w:pPr/>
      <w:r>
        <w:rPr/>
        <w:t xml:space="preserve">liberty until 28.08.1998 (on urgent grounds).</w:t>
      </w:r>
    </w:p>
    <w:p>
      <w:pPr>
        <w:numPr>
          <w:ilvl w:val="0"/>
          <w:numId w:val="1"/>
        </w:numPr>
      </w:pPr>
      <w:r>
        <w:rPr/>
        <w:t xml:space="preserve">12.08.1998: hearing with an interpreter; decision for</w:t>
      </w:r>
    </w:p>
    <w:p>
      <w:pPr/>
      <w:r>
        <w:rPr/>
        <w:t xml:space="preserve">“Abschiebungshaft” (detention to secure deportation) until</w:t>
      </w:r>
    </w:p>
    <w:p>
      <w:pPr/>
      <w:r>
        <w:rPr/>
        <w:t xml:space="preserve">23.10.1998 under §57(2) AuslG.</w:t>
      </w:r>
    </w:p>
    <w:p>
      <w:pPr>
        <w:numPr>
          <w:ilvl w:val="0"/>
          <w:numId w:val="1"/>
        </w:numPr>
      </w:pPr>
      <w:r>
        <w:rPr/>
        <w:t xml:space="preserve">23.11.1998: police doctor states the person is “no longer fit</w:t>
      </w:r>
    </w:p>
    <w:p>
      <w:pPr/>
      <w:r>
        <w:rPr/>
        <w:t xml:space="preserve">for detention and hearing”; on the same date the authority</w:t>
      </w:r>
    </w:p>
    <w:p>
      <w:pPr/>
      <w:r>
        <w:rPr/>
        <w:t xml:space="preserve">withdraws the Haftantrag (detention request) and release occurs.</w:t>
      </w:r>
    </w:p>
    <w:p>
      <w:pPr>
        <w:numPr>
          <w:ilvl w:val="0"/>
          <w:numId w:val="1"/>
        </w:numPr>
      </w:pPr>
      <w:r>
        <w:rPr/>
        <w:t xml:space="preserve">Criminal prosecution under AuslG (1999–2000)</w:t>
      </w:r>
    </w:p>
    <w:p>
      <w:pPr>
        <w:numPr>
          <w:ilvl w:val="0"/>
          <w:numId w:val="1"/>
        </w:numPr>
      </w:pPr>
      <w:r>
        <w:rPr/>
        <w:t xml:space="preserve">Polizeipräsident in Berlin – criminal complaint / file reference</w:t>
      </w:r>
    </w:p>
    <w:p>
      <w:pPr/>
      <w:r>
        <w:rPr/>
        <w:t xml:space="preserve">Vorgangs-Nr. 991012/0730-8, 12.10.1999 (allegation of no valid</w:t>
      </w:r>
    </w:p>
    <w:p>
      <w:pPr/>
      <w:r>
        <w:rPr/>
        <w:t xml:space="preserve">document/residence permit).</w:t>
      </w:r>
    </w:p>
    <w:p>
      <w:pPr>
        <w:numPr>
          <w:ilvl w:val="0"/>
          <w:numId w:val="1"/>
        </w:numPr>
      </w:pPr>
      <w:r>
        <w:rPr/>
        <w:t xml:space="preserve">Staatsanwaltschaft (bei dem LG Berlin) – indictment, file no.:</w:t>
      </w:r>
    </w:p>
    <w:p>
      <w:pPr/>
      <w:r>
        <w:rPr/>
        <w:t xml:space="preserve">52 Js 7/00, 28.03.2000 (charge of AuslG violation).</w:t>
      </w:r>
    </w:p>
    <w:p>
      <w:pPr>
        <w:numPr>
          <w:ilvl w:val="0"/>
          <w:numId w:val="1"/>
        </w:numPr>
      </w:pPr>
      <w:r>
        <w:rPr/>
        <w:t xml:space="preserve">Amtsgericht Tiergarten – decision, file no.: 251a Ds 349/00,</w:t>
      </w:r>
    </w:p>
    <w:p>
      <w:pPr/>
      <w:r>
        <w:rPr/>
        <w:t xml:space="preserve">23.06.2000 (indictment accepted and main proceedings opened).</w:t>
      </w:r>
    </w:p>
    <w:p>
      <w:pPr>
        <w:numPr>
          <w:ilvl w:val="0"/>
          <w:numId w:val="1"/>
        </w:numPr>
      </w:pPr>
      <w:r>
        <w:rPr/>
        <w:t xml:space="preserve">“Wiederaufnahme” (reopening) stage of the criminal case (2003 and</w:t>
      </w:r>
    </w:p>
    <w:p>
      <w:pPr/>
      <w:r>
        <w:rPr/>
        <w:t xml:space="preserve">after)</w:t>
      </w:r>
    </w:p>
    <w:p>
      <w:pPr>
        <w:numPr>
          <w:ilvl w:val="0"/>
          <w:numId w:val="1"/>
        </w:numPr>
      </w:pPr>
      <w:r>
        <w:rPr/>
        <w:t xml:space="preserve">Landgericht Berlin (28th Large Criminal Chamber) – decision,</w:t>
      </w:r>
    </w:p>
    <w:p>
      <w:pPr/>
      <w:r>
        <w:rPr/>
        <w:t xml:space="preserve">file no.: 528 Qs 49/03 (reference to the main case: (251b/251a Ds</w:t>
      </w:r>
    </w:p>
    <w:p>
      <w:pPr/>
      <w:r>
        <w:rPr/>
        <w:t xml:space="preserve">349/00) AG Tiergarten), 17.12.2003:</w:t>
      </w:r>
    </w:p>
    <w:p>
      <w:pPr>
        <w:numPr>
          <w:ilvl w:val="0"/>
          <w:numId w:val="1"/>
        </w:numPr>
      </w:pPr>
      <w:r>
        <w:rPr/>
        <w:t xml:space="preserve">the AG Tiergarten decision of 04.07.2003 is annulled;</w:t>
      </w:r>
    </w:p>
    <w:p>
      <w:pPr>
        <w:numPr>
          <w:ilvl w:val="0"/>
          <w:numId w:val="1"/>
        </w:numPr>
      </w:pPr>
      <w:r>
        <w:rPr/>
        <w:t xml:space="preserve">“Wiederaufnahme” is considered admissible.</w:t>
      </w:r>
    </w:p>
    <w:p>
      <w:pPr>
        <w:numPr>
          <w:ilvl w:val="0"/>
          <w:numId w:val="1"/>
        </w:numPr>
      </w:pPr>
      <w:r>
        <w:rPr/>
        <w:t xml:space="preserve">In this decision, reference is made to BVerfG, 06.03.2003, 2</w:t>
      </w:r>
    </w:p>
    <w:p>
      <w:pPr/>
      <w:r>
        <w:rPr/>
        <w:t xml:space="preserve">BvR 397/02.</w:t>
      </w:r>
    </w:p>
    <w:p>
      <w:pPr>
        <w:numPr>
          <w:ilvl w:val="0"/>
          <w:numId w:val="1"/>
        </w:numPr>
      </w:pPr>
      <w:r>
        <w:rPr/>
        <w:t xml:space="preserve">In a personal letter in the PDF, it is stated that with a</w:t>
      </w:r>
    </w:p>
    <w:p>
      <w:pPr/>
      <w:r>
        <w:rPr/>
        <w:t xml:space="preserve">“Bescheid” dated 03.01.2005, the conviction was removed (claim:</w:t>
      </w:r>
    </w:p>
    <w:p>
      <w:pPr/>
      <w:r>
        <w:rPr/>
        <w:t xml:space="preserve">without his participation in proceedings).</w:t>
      </w:r>
    </w:p>
    <w:p>
      <w:pPr>
        <w:numPr>
          <w:ilvl w:val="0"/>
          <w:numId w:val="1"/>
        </w:numPr>
      </w:pPr>
      <w:r>
        <w:rPr/>
        <w:t xml:space="preserve">Civil lawsuit, court fee, EUR 91,456 claim, and guardianship</w:t>
      </w:r>
    </w:p>
    <w:p>
      <w:pPr/>
      <w:r>
        <w:rPr/>
        <w:t xml:space="preserve">(Betreuung) (2009–2011)</w:t>
      </w:r>
    </w:p>
    <w:p>
      <w:pPr>
        <w:numPr>
          <w:ilvl w:val="0"/>
          <w:numId w:val="1"/>
        </w:numPr>
      </w:pPr>
      <w:r>
        <w:rPr/>
        <w:t xml:space="preserve">Landgericht Berlin, case: 86 O 633/09, 14.12.2009: states that</w:t>
      </w:r>
    </w:p>
    <w:p>
      <w:pPr/>
      <w:r>
        <w:rPr/>
        <w:t xml:space="preserve">the case will not be examined without payment of EUR 1,368 court</w:t>
      </w:r>
    </w:p>
    <w:p>
      <w:pPr/>
      <w:r>
        <w:rPr/>
        <w:t xml:space="preserve">fee (GKG §12).</w:t>
      </w:r>
    </w:p>
    <w:p>
      <w:pPr>
        <w:numPr>
          <w:ilvl w:val="0"/>
          <w:numId w:val="1"/>
        </w:numPr>
      </w:pPr>
      <w:r>
        <w:rPr/>
        <w:t xml:space="preserve">Betreuer (guardian) letter, 19.01.2010: states that a guardian</w:t>
      </w:r>
    </w:p>
    <w:p>
      <w:pPr/>
      <w:r>
        <w:rPr/>
        <w:t xml:space="preserve">has been appointed under §1896 BGB and asks that</w:t>
      </w:r>
    </w:p>
    <w:p>
      <w:pPr/>
      <w:r>
        <w:rPr/>
        <w:t xml:space="preserve">correspondence be directed to the guardian.</w:t>
      </w:r>
    </w:p>
    <w:p>
      <w:pPr>
        <w:numPr>
          <w:ilvl w:val="0"/>
          <w:numId w:val="1"/>
        </w:numPr>
      </w:pPr>
      <w:r>
        <w:rPr/>
        <w:t xml:space="preserve">Landgericht Berlin, 11.01.2011: explains the reason for EUR</w:t>
      </w:r>
    </w:p>
    <w:p>
      <w:pPr/>
      <w:r>
        <w:rPr/>
        <w:t xml:space="preserve">91,456 fee as the claim being filed with a value of EUR 50,000,000,</w:t>
      </w:r>
    </w:p>
    <w:p>
      <w:pPr/>
      <w:r>
        <w:rPr/>
        <w:t xml:space="preserve">that proceedings are “suspended” due to non-payment, and that no</w:t>
      </w:r>
    </w:p>
    <w:p>
      <w:pPr/>
      <w:r>
        <w:rPr/>
        <w:t xml:space="preserve">PKH (procedural legal aid) application was submitted.</w:t>
      </w:r>
    </w:p>
    <w:p>
      <w:pPr>
        <w:numPr>
          <w:ilvl w:val="0"/>
          <w:numId w:val="1"/>
        </w:numPr>
      </w:pPr>
      <w:r>
        <w:rPr/>
        <w:t xml:space="preserve">Kosteneinziehungsstelle (AG Spandau), 14.01.2011:</w:t>
      </w:r>
    </w:p>
    <w:p>
      <w:pPr/>
      <w:r>
        <w:rPr/>
        <w:t xml:space="preserve">enforcement/installment proposal and pressure-type</w:t>
      </w:r>
    </w:p>
    <w:p>
      <w:pPr/>
      <w:r>
        <w:rPr/>
        <w:t xml:space="preserve">correspondence regarding the EUR 91,456 demand.</w:t>
      </w:r>
    </w:p>
    <w:p>
      <w:pPr>
        <w:numPr>
          <w:ilvl w:val="0"/>
          <w:numId w:val="1"/>
        </w:numPr>
      </w:pPr>
      <w:r>
        <w:rPr/>
        <w:t xml:space="preserve">In the person’s letter to AG Tiergarten (guardianship</w:t>
      </w:r>
    </w:p>
    <w:p>
      <w:pPr/>
      <w:r>
        <w:rPr/>
        <w:t xml:space="preserve">proceedings file no.: 50 XVII 7034) on 19.01.2011, it is alleged that</w:t>
      </w:r>
    </w:p>
    <w:p>
      <w:pPr/>
      <w:r>
        <w:rPr/>
        <w:t xml:space="preserve">due to the guardian’s inactivity the lawsuit did not progress and as a</w:t>
      </w:r>
    </w:p>
    <w:p>
      <w:pPr/>
      <w:r>
        <w:rPr/>
        <w:t xml:space="preserve">result this debt arose.</w:t>
      </w:r>
    </w:p>
    <w:p>
      <w:pPr>
        <w:numPr>
          <w:ilvl w:val="0"/>
          <w:numId w:val="1"/>
        </w:numPr>
      </w:pPr>
      <w:r>
        <w:rPr/>
        <w:t xml:space="preserve">Allegations of violence/torture (media materials)</w:t>
      </w:r>
    </w:p>
    <w:p>
      <w:pPr>
        <w:numPr>
          <w:ilvl w:val="0"/>
          <w:numId w:val="1"/>
        </w:numPr>
      </w:pPr>
      <w:r>
        <w:rPr/>
        <w:t xml:space="preserve">“How an Azerbaijani was tortured in Germany” (21.03.2013)</w:t>
      </w:r>
    </w:p>
    <w:p>
      <w:pPr/>
      <w:r>
        <w:rPr/>
        <w:t xml:space="preserve">and other articles: torture, beatings, lack of protection and lack of</w:t>
      </w:r>
    </w:p>
    <w:p>
      <w:pPr/>
      <w:r>
        <w:rPr/>
        <w:t xml:space="preserve">investigation allegations.</w:t>
      </w:r>
    </w:p>
    <w:p>
      <w:pPr/>
      <w:r>
        <w:rPr/>
        <w:t xml:space="preserve">⸻</w:t>
      </w:r>
    </w:p>
    <w:p>
      <w:pPr/>
      <w:r>
        <w:rPr/>
        <w:t xml:space="preserve">C. Concrete violation arguments arising from these PDFs under the</w:t>
      </w:r>
    </w:p>
    <w:p>
      <w:pPr/>
      <w:r>
        <w:rPr/>
        <w:t xml:space="preserve">European Convention on Human Rights (ECHR)</w:t>
      </w:r>
    </w:p>
    <w:p>
      <w:pPr/>
      <w:r>
        <w:rPr/>
        <w:t xml:space="preserve">The following points are written as “arguable violations” (because some</w:t>
      </w:r>
    </w:p>
    <w:p>
      <w:pPr/>
      <w:r>
        <w:rPr/>
        <w:t xml:space="preserve">facts are media-based and an official investigation document is not</w:t>
      </w:r>
    </w:p>
    <w:p>
      <w:pPr/>
      <w:r>
        <w:rPr/>
        <w:t xml:space="preserve">visible everywhere in these 3 PDFs).</w:t>
      </w:r>
    </w:p>
    <w:p>
      <w:pPr/>
      <w:r>
        <w:rPr/>
        <w:t xml:space="preserve">⸻</w:t>
      </w:r>
    </w:p>
    <w:p>
      <w:pPr>
        <w:numPr>
          <w:ilvl w:val="0"/>
          <w:numId w:val="1"/>
        </w:numPr>
      </w:pPr>
      <w:r>
        <w:rPr/>
        <w:t xml:space="preserve">ECHR Article 5: lawfulness of deprivation of liberty + procedural</w:t>
      </w:r>
    </w:p>
    <w:p>
      <w:pPr/>
      <w:r>
        <w:rPr/>
        <w:t xml:space="preserve">safeguards (1998 detention)</w:t>
      </w:r>
    </w:p>
    <w:p>
      <w:pPr/>
      <w:r>
        <w:rPr/>
        <w:t xml:space="preserve">Document-based fact: In the 08.08.1998 decision the court notes</w:t>
      </w:r>
    </w:p>
    <w:p>
      <w:pPr/>
      <w:r>
        <w:rPr/>
        <w:t xml:space="preserve">“adequate communication is not possible”, yet orders temporary</w:t>
      </w:r>
    </w:p>
    <w:p>
      <w:pPr/>
      <w:r>
        <w:rPr/>
        <w:t xml:space="preserve">deprivation of liberty until 28.08.1998; on 12.08.1998 a hearing with</w:t>
      </w:r>
    </w:p>
    <w:p>
      <w:pPr/>
      <w:r>
        <w:rPr/>
        <w:t xml:space="preserve">interpreter occurs and detention until 23.10.1998 is ordered.</w:t>
      </w:r>
    </w:p>
    <w:p>
      <w:pPr/>
      <w:r>
        <w:rPr/>
        <w:t xml:space="preserve">Potential ECHR violations:</w:t>
      </w:r>
    </w:p>
    <w:p>
      <w:pPr>
        <w:numPr>
          <w:ilvl w:val="0"/>
          <w:numId w:val="1"/>
        </w:numPr>
      </w:pPr>
      <w:r>
        <w:rPr/>
        <w:t xml:space="preserve">Article 5(2) – prompt information in an understandable</w:t>
      </w:r>
    </w:p>
    <w:p>
      <w:pPr/>
      <w:r>
        <w:rPr/>
        <w:t xml:space="preserve">language about reasons for detention: the court’s “communication</w:t>
      </w:r>
    </w:p>
    <w:p>
      <w:pPr/>
      <w:r>
        <w:rPr/>
        <w:t xml:space="preserve">not possible” note creates a strong argument that this safeguard</w:t>
      </w:r>
    </w:p>
    <w:p>
      <w:pPr/>
      <w:r>
        <w:rPr/>
        <w:t xml:space="preserve">was not effectively ensured at the initial stage.</w:t>
      </w:r>
    </w:p>
    <w:p>
      <w:pPr>
        <w:numPr>
          <w:ilvl w:val="0"/>
          <w:numId w:val="1"/>
        </w:numPr>
      </w:pPr>
      <w:r>
        <w:rPr/>
        <w:t xml:space="preserve">Article 5(4) – effective and speedy court review of detention</w:t>
      </w:r>
    </w:p>
    <w:p>
      <w:pPr/>
      <w:r>
        <w:rPr/>
        <w:t xml:space="preserve">lawfulness: language/communication barrier without translation and</w:t>
      </w:r>
    </w:p>
    <w:p>
      <w:pPr/>
      <w:r>
        <w:rPr/>
        <w:t xml:space="preserve">legal assistance can mean review did not work “in practice”.</w:t>
      </w:r>
    </w:p>
    <w:p>
      <w:pPr>
        <w:numPr>
          <w:ilvl w:val="0"/>
          <w:numId w:val="1"/>
        </w:numPr>
      </w:pPr>
      <w:r>
        <w:rPr/>
        <w:t xml:space="preserve">Article 5(1)(f) – detention for deportation is possible, but</w:t>
      </w:r>
    </w:p>
    <w:p>
      <w:pPr/>
      <w:r>
        <w:rPr/>
        <w:t xml:space="preserve">must not be arbitrary; the state must pursue deportation with due</w:t>
      </w:r>
    </w:p>
    <w:p>
      <w:pPr/>
      <w:r>
        <w:rPr/>
        <w:t xml:space="preserve">diligence and speed.</w:t>
      </w:r>
    </w:p>
    <w:p>
      <w:pPr/>
      <w:r>
        <w:rPr/>
        <w:t xml:space="preserve">Key ECHR precedent (case no. + date):</w:t>
      </w:r>
    </w:p>
    <w:p>
      <w:pPr>
        <w:numPr>
          <w:ilvl w:val="0"/>
          <w:numId w:val="1"/>
        </w:numPr>
      </w:pPr>
      <w:r>
        <w:rPr/>
        <w:t xml:space="preserve">Saadi v. United Kingdom, App. No. 13229/03, GC, 29.01.2008</w:t>
      </w:r>
    </w:p>
    <w:p>
      <w:pPr/>
      <w:r>
        <w:rPr/>
        <w:t xml:space="preserve">(immigration detention and the requirement of non-arbitrariness).</w:t>
      </w:r>
    </w:p>
    <w:p>
      <w:pPr/>
      <w:r>
        <w:rPr/>
        <w:t xml:space="preserve">⸻</w:t>
      </w:r>
    </w:p>
    <w:p>
      <w:pPr>
        <w:numPr>
          <w:ilvl w:val="0"/>
          <w:numId w:val="1"/>
        </w:numPr>
      </w:pPr>
      <w:r>
        <w:rPr/>
        <w:t xml:space="preserve">ECHR Article 3: prohibition of torture/inhuman treatment + treatment</w:t>
      </w:r>
    </w:p>
    <w:p>
      <w:pPr/>
      <w:r>
        <w:rPr/>
        <w:t xml:space="preserve">of a vulnerable (severely disabled) person</w:t>
      </w:r>
    </w:p>
    <w:p>
      <w:pPr/>
      <w:r>
        <w:rPr/>
        <w:t xml:space="preserve">Document-based fact: On 23.11.1998 a police doctor writes that the</w:t>
      </w:r>
    </w:p>
    <w:p>
      <w:pPr/>
      <w:r>
        <w:rPr/>
        <w:t xml:space="preserve">person is “no longer fit for detention and hearing”; afterward the</w:t>
      </w:r>
    </w:p>
    <w:p>
      <w:pPr/>
      <w:r>
        <w:rPr/>
        <w:t xml:space="preserve">authority withdraws detention request and release occurs. This indicates</w:t>
      </w:r>
    </w:p>
    <w:p>
      <w:pPr/>
      <w:r>
        <w:rPr/>
        <w:t xml:space="preserve">serious health deterioration risk during detention.</w:t>
      </w:r>
    </w:p>
    <w:p>
      <w:pPr/>
      <w:r>
        <w:rPr/>
        <w:t xml:space="preserve">Combined with your assumption of GdB 100 (severely disabled): if the</w:t>
      </w:r>
    </w:p>
    <w:p>
      <w:pPr/>
      <w:r>
        <w:rPr/>
        <w:t xml:space="preserve">state failed to adapt detention conditions and medical provision to</w:t>
      </w:r>
    </w:p>
    <w:p>
      <w:pPr/>
      <w:r>
        <w:rPr/>
        <w:t xml:space="preserve">disability and this produced degrading/humiliating results, an Article 3</w:t>
      </w:r>
    </w:p>
    <w:p>
      <w:pPr/>
      <w:r>
        <w:rPr/>
        <w:t xml:space="preserve">claim becomes stronger.</w:t>
      </w:r>
    </w:p>
    <w:p>
      <w:pPr/>
      <w:r>
        <w:rPr/>
        <w:t xml:space="preserve">Key ECHR precedents:</w:t>
      </w:r>
    </w:p>
    <w:p>
      <w:pPr>
        <w:numPr>
          <w:ilvl w:val="0"/>
          <w:numId w:val="1"/>
        </w:numPr>
      </w:pPr>
      <w:r>
        <w:rPr/>
        <w:t xml:space="preserve">Price v. the United Kingdom, App. No. 33394/96, 10.07.2001</w:t>
      </w:r>
    </w:p>
    <w:p>
      <w:pPr/>
      <w:r>
        <w:rPr/>
        <w:t xml:space="preserve">(detention conditions not adapted for a severely disabled person</w:t>
      </w:r>
    </w:p>
    <w:p>
      <w:pPr/>
      <w:r>
        <w:rPr/>
        <w:t xml:space="preserve">can violate Article 3).</w:t>
      </w:r>
    </w:p>
    <w:p>
      <w:pPr>
        <w:numPr>
          <w:ilvl w:val="0"/>
          <w:numId w:val="1"/>
        </w:numPr>
      </w:pPr>
      <w:r>
        <w:rPr/>
        <w:t xml:space="preserve">Bouyid v. Belgium, App. No. 23380/09, GC, 28.09.2015 (police</w:t>
      </w:r>
    </w:p>
    <w:p>
      <w:pPr/>
      <w:r>
        <w:rPr/>
        <w:t xml:space="preserve">violence and Article 3 standard).</w:t>
      </w:r>
    </w:p>
    <w:p>
      <w:pPr/>
      <w:r>
        <w:rPr/>
        <w:t xml:space="preserve">⸻</w:t>
      </w:r>
    </w:p>
    <w:p>
      <w:pPr>
        <w:numPr>
          <w:ilvl w:val="0"/>
          <w:numId w:val="1"/>
        </w:numPr>
      </w:pPr>
      <w:r>
        <w:rPr/>
        <w:t xml:space="preserve">ECHR Article 3 (procedural obligation): effective investigation of</w:t>
      </w:r>
    </w:p>
    <w:p>
      <w:pPr/>
      <w:r>
        <w:rPr/>
        <w:t xml:space="preserve">violence/torture allegations</w:t>
      </w:r>
    </w:p>
    <w:p>
      <w:pPr/>
      <w:r>
        <w:rPr/>
        <w:t xml:space="preserve">Document-based fact: In Belge 46, allegations of violence/torture and</w:t>
      </w:r>
    </w:p>
    <w:p>
      <w:pPr/>
      <w:r>
        <w:rPr/>
        <w:t xml:space="preserve">“no effective investigation” appear as media material.</w:t>
      </w:r>
    </w:p>
    <w:p>
      <w:pPr/>
      <w:r>
        <w:rPr/>
        <w:t xml:space="preserve">Under ECHR approach, when state agents (police, detention, etc.) are</w:t>
      </w:r>
    </w:p>
    <w:p>
      <w:pPr/>
      <w:r>
        <w:rPr/>
        <w:t xml:space="preserve">accused of violence:</w:t>
      </w:r>
    </w:p>
    <w:p>
      <w:pPr>
        <w:numPr>
          <w:ilvl w:val="0"/>
          <w:numId w:val="1"/>
        </w:numPr>
      </w:pPr>
      <w:r>
        <w:rPr/>
        <w:t xml:space="preserve">an independent, prompt, thorough investigation is a</w:t>
      </w:r>
    </w:p>
    <w:p>
      <w:pPr/>
      <w:r>
        <w:rPr/>
        <w:t xml:space="preserve">procedural requirement of Article 3.</w:t>
      </w:r>
    </w:p>
    <w:p>
      <w:pPr/>
      <w:r>
        <w:rPr/>
        <w:t xml:space="preserve">Key precedents:</w:t>
      </w:r>
    </w:p>
    <w:p>
      <w:pPr>
        <w:numPr>
          <w:ilvl w:val="0"/>
          <w:numId w:val="1"/>
        </w:numPr>
      </w:pPr>
      <w:r>
        <w:rPr/>
        <w:t xml:space="preserve">Assenov and Others v. Bulgaria, App. No. 24760/94,</w:t>
      </w:r>
    </w:p>
    <w:p>
      <w:pPr/>
      <w:r>
        <w:rPr/>
        <w:t xml:space="preserve">28.10.1998 (duty to investigate under Article 3).</w:t>
      </w:r>
    </w:p>
    <w:p>
      <w:pPr>
        <w:numPr>
          <w:ilvl w:val="0"/>
          <w:numId w:val="1"/>
        </w:numPr>
      </w:pPr>
      <w:r>
        <w:rPr/>
        <w:t xml:space="preserve">El-Masri v. North Macedonia, App. No. 39630/09, GC,</w:t>
      </w:r>
    </w:p>
    <w:p>
      <w:pPr/>
      <w:r>
        <w:rPr/>
        <w:t xml:space="preserve">13.12.2012 (effective investigation and accountability in torture</w:t>
      </w:r>
    </w:p>
    <w:p>
      <w:pPr/>
      <w:r>
        <w:rPr/>
        <w:t xml:space="preserve">allegations).</w:t>
      </w:r>
    </w:p>
    <w:p>
      <w:pPr/>
      <w:r>
        <w:rPr/>
        <w:t xml:space="preserve">⸻</w:t>
      </w:r>
    </w:p>
    <w:p>
      <w:pPr>
        <w:numPr>
          <w:ilvl w:val="0"/>
          <w:numId w:val="1"/>
        </w:numPr>
      </w:pPr>
      <w:r>
        <w:rPr/>
        <w:t xml:space="preserve">ECHR Article 6: fair trial, interpreter, effective participation</w:t>
      </w:r>
    </w:p>
    <w:p>
      <w:pPr/>
      <w:r>
        <w:rPr/>
        <w:t xml:space="preserve">Document-based facts:</w:t>
      </w:r>
    </w:p>
    <w:p>
      <w:pPr>
        <w:numPr>
          <w:ilvl w:val="0"/>
          <w:numId w:val="1"/>
        </w:numPr>
      </w:pPr>
      <w:r>
        <w:rPr/>
        <w:t xml:space="preserve">Criminal case (AuslG) indictment and proceedings: 52 Js</w:t>
      </w:r>
    </w:p>
    <w:p>
      <w:pPr/>
      <w:r>
        <w:rPr/>
        <w:t xml:space="preserve">7/00, 251a Ds 349/00, and later “Wiederaufnahme” 528 Qs 49/03</w:t>
      </w:r>
    </w:p>
    <w:p>
      <w:pPr/>
      <w:r>
        <w:rPr/>
        <w:t xml:space="preserve">appear.</w:t>
      </w:r>
    </w:p>
    <w:p>
      <w:pPr>
        <w:numPr>
          <w:ilvl w:val="0"/>
          <w:numId w:val="1"/>
        </w:numPr>
      </w:pPr>
      <w:r>
        <w:rPr/>
        <w:t xml:space="preserve">In 1998 the court notes “communication not possible” –</w:t>
      </w:r>
    </w:p>
    <w:p>
      <w:pPr/>
      <w:r>
        <w:rPr/>
        <w:t xml:space="preserve">showing real language barrier.</w:t>
      </w:r>
    </w:p>
    <w:p>
      <w:pPr/>
      <w:r>
        <w:rPr/>
        <w:t xml:space="preserve">Potential violation logic:</w:t>
      </w:r>
    </w:p>
    <w:p>
      <w:pPr>
        <w:numPr>
          <w:ilvl w:val="0"/>
          <w:numId w:val="1"/>
        </w:numPr>
      </w:pPr>
      <w:r>
        <w:rPr/>
        <w:t xml:space="preserve">If in the criminal process (or critical stages)</w:t>
      </w:r>
    </w:p>
    <w:p>
      <w:pPr/>
      <w:r>
        <w:rPr/>
        <w:t xml:space="preserve">translation/explanation and defence rights were not ensured in</w:t>
      </w:r>
    </w:p>
    <w:p>
      <w:pPr/>
      <w:r>
        <w:rPr/>
        <w:t xml:space="preserve">practice, a claim may arise under Article 6(1) and 6(3)(e)</w:t>
      </w:r>
    </w:p>
    <w:p>
      <w:pPr/>
      <w:r>
        <w:rPr/>
        <w:t xml:space="preserve">(interpreter).</w:t>
      </w:r>
    </w:p>
    <w:p>
      <w:pPr/>
      <w:r>
        <w:rPr/>
        <w:t xml:space="preserve">Key precedent (against Germany):</w:t>
      </w:r>
    </w:p>
    <w:p>
      <w:pPr>
        <w:numPr>
          <w:ilvl w:val="0"/>
          <w:numId w:val="1"/>
        </w:numPr>
      </w:pPr>
      <w:r>
        <w:rPr/>
        <w:t xml:space="preserve">Luedicke, Belkacem and Koç v. Germany, App. Nos. 6210/73,</w:t>
      </w:r>
    </w:p>
    <w:p>
      <w:pPr/>
      <w:r>
        <w:rPr/>
        <w:t xml:space="preserve">6877/75, 7132/75, 28.11.1978 (Article 6(3)(e) interpreter assistance).</w:t>
      </w:r>
    </w:p>
    <w:p>
      <w:pPr/>
      <w:r>
        <w:rPr/>
        <w:t xml:space="preserve">⸻</w:t>
      </w:r>
    </w:p>
    <w:p>
      <w:pPr>
        <w:numPr>
          <w:ilvl w:val="0"/>
          <w:numId w:val="1"/>
        </w:numPr>
      </w:pPr>
      <w:r>
        <w:rPr/>
        <w:t xml:space="preserve">ECHR Article 7: no punishment without law (nullum crimen sine lege)</w:t>
      </w:r>
    </w:p>
    <w:p>
      <w:pPr/>
      <w:r>
        <w:rPr/>
        <w:t xml:space="preserve">Document-based fact: The Landgericht Berlin decision of 17.12.2003,</w:t>
      </w:r>
    </w:p>
    <w:p>
      <w:pPr/>
      <w:r>
        <w:rPr/>
        <w:t xml:space="preserve">with reference to BVerfG 06.03.2003 (2 BvR 397/02), accepts reopening;</w:t>
      </w:r>
    </w:p>
    <w:p>
      <w:pPr/>
      <w:r>
        <w:rPr/>
        <w:t xml:space="preserve">this signals serious doubt about legal basis of conviction.</w:t>
      </w:r>
    </w:p>
    <w:p>
      <w:pPr/>
      <w:r>
        <w:rPr/>
        <w:t xml:space="preserve">Potential claim: If the person was punished for “illegal stay” in a context</w:t>
      </w:r>
    </w:p>
    <w:p>
      <w:pPr/>
      <w:r>
        <w:rPr/>
        <w:t xml:space="preserve">where the state violated its own obligation to issue/extend documents</w:t>
      </w:r>
    </w:p>
    <w:p>
      <w:pPr/>
      <w:r>
        <w:rPr/>
        <w:t xml:space="preserve">(Duldung/permit), Article 7 foreseeability/accessibility issues may be</w:t>
      </w:r>
    </w:p>
    <w:p>
      <w:pPr/>
      <w:r>
        <w:rPr/>
        <w:t xml:space="preserve">raised (full confirmation requires the text of the criminal judgment).</w:t>
      </w:r>
    </w:p>
    <w:p>
      <w:pPr/>
      <w:r>
        <w:rPr/>
        <w:t xml:space="preserve">Precedent (foreseeability standard):</w:t>
      </w:r>
    </w:p>
    <w:p>
      <w:pPr>
        <w:numPr>
          <w:ilvl w:val="0"/>
          <w:numId w:val="1"/>
        </w:numPr>
      </w:pPr>
      <w:r>
        <w:rPr/>
        <w:t xml:space="preserve">S.W. v. the United Kingdom, App. No. 20166/92, 22.11.1995.</w:t>
      </w:r>
    </w:p>
    <w:p>
      <w:pPr/>
      <w:r>
        <w:rPr/>
        <w:t xml:space="preserve">⸻</w:t>
      </w:r>
    </w:p>
    <w:p>
      <w:pPr>
        <w:numPr>
          <w:ilvl w:val="0"/>
          <w:numId w:val="1"/>
        </w:numPr>
      </w:pPr>
      <w:r>
        <w:rPr/>
        <w:t xml:space="preserve">ECHR Article 6 + Article 13 + Protocol No. 1 Article 1: access to court,</w:t>
      </w:r>
    </w:p>
    <w:p>
      <w:pPr/>
      <w:r>
        <w:rPr/>
        <w:t xml:space="preserve">effective remedy, EUR 91,456 fees and guardianship (2009–2011)</w:t>
      </w:r>
    </w:p>
    <w:p>
      <w:pPr/>
      <w:r>
        <w:rPr/>
        <w:t xml:space="preserve">Document-based facts:</w:t>
      </w:r>
    </w:p>
    <w:p>
      <w:pPr>
        <w:numPr>
          <w:ilvl w:val="0"/>
          <w:numId w:val="1"/>
        </w:numPr>
      </w:pPr>
      <w:r>
        <w:rPr/>
        <w:t xml:space="preserve">14.12.2009: proceedings refused without payment of EUR</w:t>
      </w:r>
    </w:p>
    <w:p>
      <w:pPr/>
      <w:r>
        <w:rPr/>
        <w:t xml:space="preserve">1,368 (86 O 633/09).</w:t>
      </w:r>
    </w:p>
    <w:p>
      <w:pPr>
        <w:numPr>
          <w:ilvl w:val="0"/>
          <w:numId w:val="1"/>
        </w:numPr>
      </w:pPr>
      <w:r>
        <w:rPr/>
        <w:t xml:space="preserve">11.01.2011: EUR 91,456 explained by claim value EUR</w:t>
      </w:r>
    </w:p>
    <w:p>
      <w:pPr/>
      <w:r>
        <w:rPr/>
        <w:t xml:space="preserve">50,000,000; proceedings “suspended”; no PKH filed.</w:t>
      </w:r>
    </w:p>
    <w:p>
      <w:pPr>
        <w:numPr>
          <w:ilvl w:val="0"/>
          <w:numId w:val="1"/>
        </w:numPr>
      </w:pPr>
      <w:r>
        <w:rPr/>
        <w:t xml:space="preserve">19.01.2010: guardian exists under §1896 BGB; 19.01.2011:</w:t>
      </w:r>
    </w:p>
    <w:p>
      <w:pPr/>
      <w:r>
        <w:rPr/>
        <w:t xml:space="preserve">complaint that guardian’s inactivity prevented the case, leading to</w:t>
      </w:r>
    </w:p>
    <w:p>
      <w:pPr/>
      <w:r>
        <w:rPr/>
        <w:t xml:space="preserve">debt.</w:t>
      </w:r>
    </w:p>
    <w:p>
      <w:pPr/>
      <w:r>
        <w:rPr/>
        <w:t xml:space="preserve">ECHR legal line:</w:t>
      </w:r>
    </w:p>
    <w:p>
      <w:pPr>
        <w:numPr>
          <w:ilvl w:val="0"/>
          <w:numId w:val="1"/>
        </w:numPr>
      </w:pPr>
      <w:r>
        <w:rPr/>
        <w:t xml:space="preserve">Article 6(1) – access to court: if excessive fees or formal</w:t>
      </w:r>
    </w:p>
    <w:p>
      <w:pPr/>
      <w:r>
        <w:rPr/>
        <w:t xml:space="preserve">obstacles make litigation realistically impossible, access is violated.</w:t>
      </w:r>
    </w:p>
    <w:p>
      <w:pPr>
        <w:numPr>
          <w:ilvl w:val="0"/>
          <w:numId w:val="1"/>
        </w:numPr>
      </w:pPr>
      <w:r>
        <w:rPr/>
        <w:t xml:space="preserve">Article 13 – effective remedy: a remedy that exists on paper</w:t>
      </w:r>
    </w:p>
    <w:p>
      <w:pPr/>
      <w:r>
        <w:rPr/>
        <w:t xml:space="preserve">but does not work in practice due to disability + guardianship + fee</w:t>
      </w:r>
    </w:p>
    <w:p>
      <w:pPr/>
      <w:r>
        <w:rPr/>
        <w:t xml:space="preserve">barriers may not be “effective.”</w:t>
      </w:r>
    </w:p>
    <w:p>
      <w:pPr>
        <w:numPr>
          <w:ilvl w:val="0"/>
          <w:numId w:val="1"/>
        </w:numPr>
      </w:pPr>
      <w:r>
        <w:rPr/>
        <w:t xml:space="preserve">P1-1 (property): enforcement of a EUR 91,456 burden on a</w:t>
      </w:r>
    </w:p>
    <w:p>
      <w:pPr/>
      <w:r>
        <w:rPr/>
        <w:t xml:space="preserve">severely ill/disabled person receiving social benefits can raise</w:t>
      </w:r>
    </w:p>
    <w:p>
      <w:pPr/>
      <w:r>
        <w:rPr/>
        <w:t xml:space="preserve">disproportionality issues.</w:t>
      </w:r>
    </w:p>
    <w:p>
      <w:pPr>
        <w:numPr>
          <w:ilvl w:val="0"/>
          <w:numId w:val="1"/>
        </w:numPr>
      </w:pPr>
      <w:r>
        <w:rPr/>
        <w:t xml:space="preserve">Article 8 (private life/autonomy): if guardianship de facto</w:t>
      </w:r>
    </w:p>
    <w:p>
      <w:pPr/>
      <w:r>
        <w:rPr/>
        <w:t xml:space="preserve">disables legal agency such that the person cannot defend rights,</w:t>
      </w:r>
    </w:p>
    <w:p>
      <w:pPr/>
      <w:r>
        <w:rPr/>
        <w:t xml:space="preserve">Article 8 can operate together with Articles 6 and 13.</w:t>
      </w:r>
    </w:p>
    <w:p>
      <w:pPr/>
      <w:r>
        <w:rPr/>
        <w:t xml:space="preserve">Key precedents:</w:t>
      </w:r>
    </w:p>
    <w:p>
      <w:pPr>
        <w:numPr>
          <w:ilvl w:val="0"/>
          <w:numId w:val="1"/>
        </w:numPr>
      </w:pPr>
      <w:r>
        <w:rPr/>
        <w:t xml:space="preserve">Kreuz v. Poland, App. No. 28249/95, 19.06.2001 (court fees</w:t>
      </w:r>
    </w:p>
    <w:p>
      <w:pPr/>
      <w:r>
        <w:rPr/>
        <w:t xml:space="preserve">can violate access to court).</w:t>
      </w:r>
    </w:p>
    <w:p>
      <w:pPr>
        <w:numPr>
          <w:ilvl w:val="0"/>
          <w:numId w:val="1"/>
        </w:numPr>
      </w:pPr>
      <w:r>
        <w:rPr/>
        <w:t xml:space="preserve">Podbielski and PPU Polpure v. Poland, App. No. 39199/98,</w:t>
      </w:r>
    </w:p>
    <w:p>
      <w:pPr/>
      <w:r>
        <w:rPr/>
        <w:t xml:space="preserve">26.07.2005.</w:t>
      </w:r>
    </w:p>
    <w:p>
      <w:pPr>
        <w:numPr>
          <w:ilvl w:val="0"/>
          <w:numId w:val="1"/>
        </w:numPr>
      </w:pPr>
      <w:r>
        <w:rPr/>
        <w:t xml:space="preserve">Airey v. Ireland, App. No. 6289/73, 09.10.1979 (legal aid may</w:t>
      </w:r>
    </w:p>
    <w:p>
      <w:pPr/>
      <w:r>
        <w:rPr/>
        <w:t xml:space="preserve">be necessary for effective access to court).</w:t>
      </w:r>
    </w:p>
    <w:p>
      <w:pPr>
        <w:numPr>
          <w:ilvl w:val="0"/>
          <w:numId w:val="1"/>
        </w:numPr>
      </w:pPr>
      <w:r>
        <w:rPr/>
        <w:t xml:space="preserve">Steel and Morris v. the United Kingdom, App. No. 68416/01,</w:t>
      </w:r>
    </w:p>
    <w:p>
      <w:pPr/>
      <w:r>
        <w:rPr/>
        <w:t xml:space="preserve">15.02.2005 (lack of legal aid can affect fairness).</w:t>
      </w:r>
    </w:p>
    <w:p>
      <w:pPr>
        <w:numPr>
          <w:ilvl w:val="0"/>
          <w:numId w:val="1"/>
        </w:numPr>
      </w:pPr>
      <w:r>
        <w:rPr/>
        <w:t xml:space="preserve">Stanev v. Bulgaria, App. No. 36760/06, GC, 17.01.2012</w:t>
      </w:r>
    </w:p>
    <w:p>
      <w:pPr/>
      <w:r>
        <w:rPr/>
        <w:t xml:space="preserve">(guardianship/legal agency and complex rights violations).</w:t>
      </w:r>
    </w:p>
    <w:p>
      <w:pPr>
        <w:numPr>
          <w:ilvl w:val="0"/>
          <w:numId w:val="1"/>
        </w:numPr>
      </w:pPr>
      <w:r>
        <w:rPr/>
        <w:t xml:space="preserve">Shtukaturov v. Russia, App. No. 44009/05, 27.03.2008</w:t>
      </w:r>
    </w:p>
    <w:p>
      <w:pPr/>
      <w:r>
        <w:rPr/>
        <w:t xml:space="preserve">(guardianship and access to court/agency problems).</w:t>
      </w:r>
    </w:p>
    <w:p>
      <w:pPr/>
      <w:r>
        <w:rPr/>
        <w:t xml:space="preserve">⸻</w:t>
      </w:r>
    </w:p>
    <w:p>
      <w:pPr>
        <w:numPr>
          <w:ilvl w:val="0"/>
          <w:numId w:val="1"/>
        </w:numPr>
      </w:pPr>
      <w:r>
        <w:rPr/>
        <w:t xml:space="preserve">ECHR Article 14: discrimination on grounds of disability (and also</w:t>
      </w:r>
    </w:p>
    <w:p>
      <w:pPr/>
      <w:r>
        <w:rPr/>
        <w:t xml:space="preserve">nationality/health status)</w:t>
      </w:r>
    </w:p>
    <w:p>
      <w:pPr/>
      <w:r>
        <w:rPr/>
        <w:t xml:space="preserve">Your assumption of GdB 100 + documents showing guardianship and</w:t>
      </w:r>
    </w:p>
    <w:p>
      <w:pPr/>
      <w:r>
        <w:rPr/>
        <w:t xml:space="preserve">serious illness allow this line:</w:t>
      </w:r>
    </w:p>
    <w:p>
      <w:pPr>
        <w:numPr>
          <w:ilvl w:val="0"/>
          <w:numId w:val="1"/>
        </w:numPr>
      </w:pPr>
      <w:r>
        <w:rPr/>
        <w:t xml:space="preserve">if authorities applied “same procedure for everyone” without</w:t>
      </w:r>
    </w:p>
    <w:p>
      <w:pPr/>
      <w:r>
        <w:rPr/>
        <w:t xml:space="preserve">making disability-required accommodations (translation, legal aid,</w:t>
      </w:r>
    </w:p>
    <w:p>
      <w:pPr/>
      <w:r>
        <w:rPr/>
        <w:t xml:space="preserve">procedural adjustments, real guardian supervision, safeguards), this</w:t>
      </w:r>
    </w:p>
    <w:p>
      <w:pPr/>
      <w:r>
        <w:rPr/>
        <w:t xml:space="preserve">can be framed as indirect discrimination or failure to treat different</w:t>
      </w:r>
    </w:p>
    <w:p>
      <w:pPr/>
      <w:r>
        <w:rPr/>
        <w:t xml:space="preserve">situations differently.</w:t>
      </w:r>
    </w:p>
    <w:p>
      <w:pPr/>
      <w:r>
        <w:rPr/>
        <w:t xml:space="preserve">Key disability-discrimination precedents:</w:t>
      </w:r>
    </w:p>
    <w:p>
      <w:pPr>
        <w:numPr>
          <w:ilvl w:val="0"/>
          <w:numId w:val="1"/>
        </w:numPr>
      </w:pPr>
      <w:r>
        <w:rPr/>
        <w:t xml:space="preserve">Guberina v. Croatia, App. No. 23682/13, 22.03.2016.</w:t>
      </w:r>
    </w:p>
    <w:p>
      <w:pPr>
        <w:numPr>
          <w:ilvl w:val="0"/>
          <w:numId w:val="1"/>
        </w:numPr>
      </w:pPr>
      <w:r>
        <w:rPr/>
        <w:t xml:space="preserve">Çam v. Turkey, App. No. 51500/08, 23.02.2016 (connected to</w:t>
      </w:r>
    </w:p>
    <w:p>
      <w:pPr/>
      <w:r>
        <w:rPr/>
        <w:t xml:space="preserve">reasonable accommodation logic).</w:t>
      </w:r>
    </w:p>
    <w:p>
      <w:pPr>
        <w:numPr>
          <w:ilvl w:val="0"/>
          <w:numId w:val="1"/>
        </w:numPr>
      </w:pPr>
      <w:r>
        <w:rPr/>
        <w:t xml:space="preserve">Enver Şahin v. Turkey, App. No. 23065/12, 30.01.2018.</w:t>
      </w:r>
    </w:p>
    <w:p>
      <w:pPr>
        <w:numPr>
          <w:ilvl w:val="0"/>
          <w:numId w:val="1"/>
        </w:numPr>
      </w:pPr>
      <w:r>
        <w:rPr/>
        <w:t xml:space="preserve">G.L. v. Italy, App. No. 59751/15, 10.09.2020.</w:t>
      </w:r>
    </w:p>
    <w:p>
      <w:pPr>
        <w:numPr>
          <w:ilvl w:val="0"/>
          <w:numId w:val="1"/>
        </w:numPr>
      </w:pPr>
      <w:r>
        <w:rPr/>
        <w:t xml:space="preserve">Health status (e.g., HIV) discrimination: Kiyutin v. Russia,</w:t>
      </w:r>
    </w:p>
    <w:p>
      <w:pPr/>
      <w:r>
        <w:rPr/>
        <w:t xml:space="preserve">App. No. 2700/10, 10.03.2011.</w:t>
      </w:r>
    </w:p>
    <w:p>
      <w:pPr/>
      <w:r>
        <w:rPr/>
        <w:t xml:space="preserve">⸻</w:t>
      </w:r>
    </w:p>
    <w:p>
      <w:pPr/>
      <w:r>
        <w:rPr/>
        <w:t xml:space="preserve">D. UN conventions (UN) – violation map</w:t>
      </w:r>
    </w:p>
    <w:p>
      <w:pPr>
        <w:numPr>
          <w:ilvl w:val="0"/>
          <w:numId w:val="1"/>
        </w:numPr>
      </w:pPr>
      <w:r>
        <w:rPr/>
        <w:t xml:space="preserve">ICCPR (International Covenant on Civil and Political Rights)</w:t>
      </w:r>
    </w:p>
    <w:p>
      <w:pPr>
        <w:numPr>
          <w:ilvl w:val="0"/>
          <w:numId w:val="1"/>
        </w:numPr>
      </w:pPr>
      <w:r>
        <w:rPr/>
        <w:t xml:space="preserve">Article 7 (ban on torture/inhuman treatment)</w:t>
      </w:r>
    </w:p>
    <w:p>
      <w:pPr>
        <w:numPr>
          <w:ilvl w:val="0"/>
          <w:numId w:val="1"/>
        </w:numPr>
      </w:pPr>
      <w:r>
        <w:rPr/>
        <w:t xml:space="preserve">Article 9 (liberty; non-arbitrariness; judicial review)</w:t>
      </w:r>
    </w:p>
    <w:p>
      <w:pPr>
        <w:numPr>
          <w:ilvl w:val="0"/>
          <w:numId w:val="1"/>
        </w:numPr>
      </w:pPr>
      <w:r>
        <w:rPr/>
        <w:t xml:space="preserve">Article 14 (fair trial; effective participation)</w:t>
      </w:r>
    </w:p>
    <w:p>
      <w:pPr>
        <w:numPr>
          <w:ilvl w:val="0"/>
          <w:numId w:val="1"/>
        </w:numPr>
      </w:pPr>
      <w:r>
        <w:rPr/>
        <w:t xml:space="preserve">Article 2(3) (effective legal remedy and reparation)</w:t>
      </w:r>
    </w:p>
    <w:p>
      <w:pPr>
        <w:numPr>
          <w:ilvl w:val="0"/>
          <w:numId w:val="1"/>
        </w:numPr>
      </w:pPr>
      <w:r>
        <w:rPr/>
        <w:t xml:space="preserve">Article 26 (equality and non-discrimination)</w:t>
      </w:r>
    </w:p>
    <w:p>
      <w:pPr/>
      <w:r>
        <w:rPr/>
        <w:t xml:space="preserve">Implementation standard (doc symbol + date):</w:t>
      </w:r>
    </w:p>
    <w:p>
      <w:pPr>
        <w:numPr>
          <w:ilvl w:val="0"/>
          <w:numId w:val="1"/>
        </w:numPr>
      </w:pPr>
      <w:r>
        <w:rPr/>
        <w:t xml:space="preserve">UN Human Rights Committee, General Comment No. 31,</w:t>
      </w:r>
    </w:p>
    <w:p>
      <w:pPr/>
      <w:r>
        <w:rPr/>
        <w:t xml:space="preserve">CCPR/C/21/Rev.1/Add.13, document date 26.05.2004 (effective</w:t>
      </w:r>
    </w:p>
    <w:p>
      <w:pPr/>
      <w:r>
        <w:rPr/>
        <w:t xml:space="preserve">remedy and reparation duty).</w:t>
      </w:r>
    </w:p>
    <w:p>
      <w:pPr>
        <w:numPr>
          <w:ilvl w:val="0"/>
          <w:numId w:val="1"/>
        </w:numPr>
      </w:pPr>
      <w:r>
        <w:rPr/>
        <w:t xml:space="preserve">Example decision on immigration detention: A v. Australia,</w:t>
      </w:r>
    </w:p>
    <w:p>
      <w:pPr/>
      <w:r>
        <w:rPr/>
        <w:t xml:space="preserve">Comm. No. 560/1993, Views 03.04.1997 (ICCPR Article 9</w:t>
      </w:r>
    </w:p>
    <w:p>
      <w:pPr/>
      <w:r>
        <w:rPr/>
        <w:t xml:space="preserve">arbitrariness).</w:t>
      </w:r>
    </w:p>
    <w:p>
      <w:pPr/>
      <w:r>
        <w:rPr/>
        <w:t xml:space="preserve">Germany individual complaint channel: Germany has joined ICCPR First</w:t>
      </w:r>
    </w:p>
    <w:p>
      <w:pPr/>
      <w:r>
        <w:rPr/>
        <w:t xml:space="preserve">Optional Protocol (individual complaint possible).</w:t>
      </w:r>
    </w:p>
    <w:p>
      <w:pPr>
        <w:numPr>
          <w:ilvl w:val="0"/>
          <w:numId w:val="1"/>
        </w:numPr>
      </w:pPr>
      <w:r>
        <w:rPr/>
        <w:t xml:space="preserve">CAT (Convention Against Torture)</w:t>
      </w:r>
    </w:p>
    <w:p>
      <w:pPr>
        <w:numPr>
          <w:ilvl w:val="0"/>
          <w:numId w:val="1"/>
        </w:numPr>
      </w:pPr>
      <w:r>
        <w:rPr/>
        <w:t xml:space="preserve">Article 2 (prevention of torture)</w:t>
      </w:r>
    </w:p>
    <w:p>
      <w:pPr>
        <w:numPr>
          <w:ilvl w:val="0"/>
          <w:numId w:val="1"/>
        </w:numPr>
      </w:pPr>
      <w:r>
        <w:rPr/>
        <w:t xml:space="preserve">Article 12 (prompt and impartial investigation)</w:t>
      </w:r>
    </w:p>
    <w:p>
      <w:pPr>
        <w:numPr>
          <w:ilvl w:val="0"/>
          <w:numId w:val="1"/>
        </w:numPr>
      </w:pPr>
      <w:r>
        <w:rPr/>
        <w:t xml:space="preserve">Article 13 (right to complain + protection)</w:t>
      </w:r>
    </w:p>
    <w:p>
      <w:pPr>
        <w:numPr>
          <w:ilvl w:val="0"/>
          <w:numId w:val="1"/>
        </w:numPr>
      </w:pPr>
      <w:r>
        <w:rPr/>
        <w:t xml:space="preserve">Article 14 (reparation/compensation)</w:t>
      </w:r>
    </w:p>
    <w:p>
      <w:pPr>
        <w:numPr>
          <w:ilvl w:val="0"/>
          <w:numId w:val="1"/>
        </w:numPr>
      </w:pPr>
      <w:r>
        <w:rPr/>
        <w:t xml:space="preserve">Article 16 (prevention of other cruel, inhuman treatment)</w:t>
      </w:r>
    </w:p>
    <w:p>
      <w:pPr/>
      <w:r>
        <w:rPr/>
        <w:t xml:space="preserve">Germany individual complaint: Germany has accepted CAT Article 22</w:t>
      </w:r>
    </w:p>
    <w:p>
      <w:pPr/>
      <w:r>
        <w:rPr/>
        <w:t xml:space="preserve">procedure (individual complaint possible).</w:t>
      </w:r>
    </w:p>
    <w:p>
      <w:pPr>
        <w:numPr>
          <w:ilvl w:val="0"/>
          <w:numId w:val="1"/>
        </w:numPr>
      </w:pPr>
      <w:r>
        <w:rPr/>
        <w:t xml:space="preserve">CRPD (Convention on the Rights of Persons with Disabilities) –</w:t>
      </w:r>
    </w:p>
    <w:p>
      <w:pPr/>
      <w:r>
        <w:rPr/>
        <w:t xml:space="preserve">disability discrimination and reasonable accommodation</w:t>
      </w:r>
    </w:p>
    <w:p>
      <w:pPr/>
      <w:r>
        <w:rPr/>
        <w:t xml:space="preserve">Some events in these documents are pre-2009, but ongoing</w:t>
      </w:r>
    </w:p>
    <w:p>
      <w:pPr/>
      <w:r>
        <w:rPr/>
        <w:t xml:space="preserve">consequences (guardianship, enforcement, procedural accessibility) can</w:t>
      </w:r>
    </w:p>
    <w:p>
      <w:pPr/>
      <w:r>
        <w:rPr/>
        <w:t xml:space="preserve">be raised under CRPD separately.</w:t>
      </w:r>
    </w:p>
    <w:p>
      <w:pPr>
        <w:numPr>
          <w:ilvl w:val="0"/>
          <w:numId w:val="1"/>
        </w:numPr>
      </w:pPr>
      <w:r>
        <w:rPr/>
        <w:t xml:space="preserve">Article 5 (equality and non-discrimination)</w:t>
      </w:r>
    </w:p>
    <w:p>
      <w:pPr>
        <w:numPr>
          <w:ilvl w:val="0"/>
          <w:numId w:val="1"/>
        </w:numPr>
      </w:pPr>
      <w:r>
        <w:rPr/>
        <w:t xml:space="preserve">Article 12 (equal recognition before the law; supported</w:t>
      </w:r>
    </w:p>
    <w:p>
      <w:pPr/>
      <w:r>
        <w:rPr/>
        <w:t xml:space="preserve">decision-making)</w:t>
      </w:r>
    </w:p>
    <w:p>
      <w:pPr>
        <w:numPr>
          <w:ilvl w:val="0"/>
          <w:numId w:val="1"/>
        </w:numPr>
      </w:pPr>
      <w:r>
        <w:rPr/>
        <w:t xml:space="preserve">Article 13 (access to justice; procedural accommodations)</w:t>
      </w:r>
    </w:p>
    <w:p>
      <w:pPr>
        <w:numPr>
          <w:ilvl w:val="0"/>
          <w:numId w:val="1"/>
        </w:numPr>
      </w:pPr>
      <w:r>
        <w:rPr/>
        <w:t xml:space="preserve">Articles 14–16 (liberty; protection from torture; protection</w:t>
      </w:r>
    </w:p>
    <w:p>
      <w:pPr/>
      <w:r>
        <w:rPr/>
        <w:t xml:space="preserve">from violence)</w:t>
      </w:r>
    </w:p>
    <w:p>
      <w:pPr/>
      <w:r>
        <w:rPr/>
        <w:t xml:space="preserve">Interpretive document (symbol + date):</w:t>
      </w:r>
    </w:p>
    <w:p>
      <w:pPr>
        <w:numPr>
          <w:ilvl w:val="0"/>
          <w:numId w:val="1"/>
        </w:numPr>
      </w:pPr>
      <w:r>
        <w:rPr/>
        <w:t xml:space="preserve">CRPD Committee, General Comment No. 1 (Article 12),</w:t>
      </w:r>
    </w:p>
    <w:p>
      <w:pPr/>
      <w:r>
        <w:rPr/>
        <w:t xml:space="preserve">CRPD/C/GC/1, adopted 11.04.2014 (support and legal agency).</w:t>
      </w:r>
    </w:p>
    <w:p>
      <w:pPr/>
      <w:r>
        <w:rPr/>
        <w:t xml:space="preserve">Germany individual complaint: Germany ratified the CRPD Optional</w:t>
      </w:r>
    </w:p>
    <w:p>
      <w:pPr/>
      <w:r>
        <w:rPr/>
        <w:t xml:space="preserve">Protocol (individual complaint possible).</w:t>
      </w:r>
    </w:p>
    <w:p>
      <w:pPr/>
      <w:r>
        <w:rPr/>
        <w:t xml:space="preserve">⸻</w:t>
      </w:r>
    </w:p>
    <w:p>
      <w:pPr/>
      <w:r>
        <w:rPr/>
        <w:t xml:space="preserve">E. How state responsibility is triggered (international law)</w:t>
      </w:r>
    </w:p>
    <w:p>
      <w:pPr>
        <w:numPr>
          <w:ilvl w:val="0"/>
          <w:numId w:val="1"/>
        </w:numPr>
      </w:pPr>
      <w:r>
        <w:rPr/>
        <w:t xml:space="preserve">Attribution (whose actions are attributable to the state?)</w:t>
      </w:r>
    </w:p>
    <w:p>
      <w:pPr>
        <w:numPr>
          <w:ilvl w:val="0"/>
          <w:numId w:val="1"/>
        </w:numPr>
      </w:pPr>
      <w:r>
        <w:rPr/>
        <w:t xml:space="preserve">Police, prosecution, courts are state bodies; their</w:t>
      </w:r>
    </w:p>
    <w:p>
      <w:pPr/>
      <w:r>
        <w:rPr/>
        <w:t xml:space="preserve">actions/omissions are attributable to the state.</w:t>
      </w:r>
    </w:p>
    <w:p>
      <w:pPr>
        <w:numPr>
          <w:ilvl w:val="0"/>
          <w:numId w:val="1"/>
        </w:numPr>
      </w:pPr>
      <w:r>
        <w:rPr/>
        <w:t xml:space="preserve">If guardianship (Betreuung) is appointed and supervised by</w:t>
      </w:r>
    </w:p>
    <w:p>
      <w:pPr/>
      <w:r>
        <w:rPr/>
        <w:t xml:space="preserve">the state, at least a positive obligation arises: real supervision,</w:t>
      </w:r>
    </w:p>
    <w:p>
      <w:pPr/>
      <w:r>
        <w:rPr/>
        <w:t xml:space="preserve">effective complaints, prevention of harm.</w:t>
      </w:r>
    </w:p>
    <w:p>
      <w:pPr>
        <w:numPr>
          <w:ilvl w:val="0"/>
          <w:numId w:val="1"/>
        </w:numPr>
      </w:pPr>
      <w:r>
        <w:rPr/>
        <w:t xml:space="preserve">No justification by domestic law</w:t>
      </w:r>
    </w:p>
    <w:p>
      <w:pPr/>
      <w:r>
        <w:rPr/>
        <w:t xml:space="preserve">A state cannot justify breaches of international obligations by reference</w:t>
      </w:r>
    </w:p>
    <w:p>
      <w:pPr/>
      <w:r>
        <w:rPr/>
        <w:t xml:space="preserve">to domestic laws/administrative routine (state responsibility logic).</w:t>
      </w:r>
    </w:p>
    <w:p>
      <w:pPr/>
      <w:r>
        <w:rPr/>
        <w:t xml:space="preserve">⸻</w:t>
      </w:r>
    </w:p>
    <w:p>
      <w:pPr/>
      <w:r>
        <w:rPr/>
        <w:t xml:space="preserve">F. Why domestic remedies may be argued “not effective” (based on</w:t>
      </w:r>
    </w:p>
    <w:p>
      <w:pPr/>
      <w:r>
        <w:rPr/>
        <w:t xml:space="preserve">these 3 PDFs)</w:t>
      </w:r>
    </w:p>
    <w:p>
      <w:pPr/>
      <w:r>
        <w:rPr/>
        <w:t xml:space="preserve">The strongest line based on these documents appears to be:</w:t>
      </w:r>
    </w:p>
    <w:p>
      <w:pPr>
        <w:numPr>
          <w:ilvl w:val="0"/>
          <w:numId w:val="1"/>
        </w:numPr>
      </w:pPr>
      <w:r>
        <w:rPr/>
        <w:t xml:space="preserve">Language/communication barrier: the 08.08.1998 “adequate</w:t>
      </w:r>
    </w:p>
    <w:p>
      <w:pPr/>
      <w:r>
        <w:rPr/>
        <w:t xml:space="preserve">communication is not possible” phrase – strong argument that safeguards</w:t>
      </w:r>
    </w:p>
    <w:p>
      <w:pPr/>
      <w:r>
        <w:rPr/>
        <w:t xml:space="preserve">did not work in practice at the initial stage.</w:t>
      </w:r>
    </w:p>
    <w:p>
      <w:pPr>
        <w:numPr>
          <w:ilvl w:val="0"/>
          <w:numId w:val="1"/>
        </w:numPr>
      </w:pPr>
      <w:r>
        <w:rPr/>
        <w:t xml:space="preserve">Fees and formal barriers: refusal to proceed without EUR 1,368 +</w:t>
      </w:r>
    </w:p>
    <w:p>
      <w:pPr/>
      <w:r>
        <w:rPr/>
        <w:t xml:space="preserve">later EUR 91,456 heavy burden – access to court blocked in practice.</w:t>
      </w:r>
    </w:p>
    <w:p>
      <w:pPr>
        <w:numPr>
          <w:ilvl w:val="0"/>
          <w:numId w:val="1"/>
        </w:numPr>
      </w:pPr>
      <w:r>
        <w:rPr/>
        <w:t xml:space="preserve">Loss of real defence due to guardianship: guardian claims</w:t>
      </w:r>
    </w:p>
    <w:p>
      <w:pPr/>
      <w:r>
        <w:rPr/>
        <w:t xml:space="preserve">representation but PKH/fees/procedural steps not taken; complaint about</w:t>
      </w:r>
    </w:p>
    <w:p>
      <w:pPr/>
      <w:r>
        <w:rPr/>
        <w:t xml:space="preserve">guardian inactivity – argument that a disabled person’s “effective</w:t>
      </w:r>
    </w:p>
    <w:p>
      <w:pPr/>
      <w:r>
        <w:rPr/>
        <w:t xml:space="preserve">participation” was lost.</w:t>
      </w:r>
    </w:p>
    <w:p>
      <w:pPr>
        <w:numPr>
          <w:ilvl w:val="0"/>
          <w:numId w:val="1"/>
        </w:numPr>
      </w:pPr>
      <w:r>
        <w:rPr/>
        <w:t xml:space="preserve">Investigation of violence allegations: even if media-based, the</w:t>
      </w:r>
    </w:p>
    <w:p>
      <w:pPr/>
      <w:r>
        <w:rPr/>
        <w:t xml:space="preserve">state’s duty to investigate is strict (Article 3 procedural).</w:t>
      </w:r>
    </w:p>
    <w:p>
      <w:pPr/>
      <w:r>
        <w:rPr/>
        <w:t xml:space="preserve">⸻</w:t>
      </w:r>
    </w:p>
    <w:p>
      <w:pPr/>
      <w:r>
        <w:rPr/>
        <w:t xml:space="preserve">G. International complaint avenues (legal pathways)</w:t>
      </w:r>
    </w:p>
    <w:p>
      <w:pPr>
        <w:numPr>
          <w:ilvl w:val="0"/>
          <w:numId w:val="1"/>
        </w:numPr>
      </w:pPr>
      <w:r>
        <w:rPr/>
        <w:t xml:space="preserve">European Court of Human Rights (ECtHR / Strasbourg)</w:t>
      </w:r>
    </w:p>
    <w:p>
      <w:pPr>
        <w:numPr>
          <w:ilvl w:val="0"/>
          <w:numId w:val="1"/>
        </w:numPr>
      </w:pPr>
      <w:r>
        <w:rPr/>
        <w:t xml:space="preserve">Application is filed under ECHR Article 34.</w:t>
      </w:r>
    </w:p>
    <w:p>
      <w:pPr>
        <w:numPr>
          <w:ilvl w:val="0"/>
          <w:numId w:val="1"/>
        </w:numPr>
      </w:pPr>
      <w:r>
        <w:rPr/>
        <w:t xml:space="preserve">General conditions: exhaustion of domestic remedies +</w:t>
      </w:r>
    </w:p>
    <w:p>
      <w:pPr/>
      <w:r>
        <w:rPr/>
        <w:t xml:space="preserve">4-month time limit from final domestic decision.</w:t>
      </w:r>
    </w:p>
    <w:p>
      <w:pPr>
        <w:numPr>
          <w:ilvl w:val="0"/>
          <w:numId w:val="1"/>
        </w:numPr>
      </w:pPr>
      <w:r>
        <w:rPr/>
        <w:t xml:space="preserve">If there is risk of irreversible harm, Rule 39 interim measures</w:t>
      </w:r>
    </w:p>
    <w:p>
      <w:pPr/>
      <w:r>
        <w:rPr/>
        <w:t xml:space="preserve">may be considered (facts required).</w:t>
      </w:r>
    </w:p>
    <w:p>
      <w:pPr>
        <w:numPr>
          <w:ilvl w:val="0"/>
          <w:numId w:val="1"/>
        </w:numPr>
      </w:pPr>
      <w:r>
        <w:rPr/>
        <w:t xml:space="preserve">UN Human Rights Committee (ICCPR – Optional Protocol)</w:t>
      </w:r>
    </w:p>
    <w:p>
      <w:pPr>
        <w:numPr>
          <w:ilvl w:val="0"/>
          <w:numId w:val="1"/>
        </w:numPr>
      </w:pPr>
      <w:r>
        <w:rPr/>
        <w:t xml:space="preserve">Germany is OP-ICCPR participant – individual complaint</w:t>
      </w:r>
    </w:p>
    <w:p>
      <w:pPr/>
      <w:r>
        <w:rPr/>
        <w:t xml:space="preserve">possible.</w:t>
      </w:r>
    </w:p>
    <w:p>
      <w:pPr>
        <w:numPr>
          <w:ilvl w:val="0"/>
          <w:numId w:val="1"/>
        </w:numPr>
      </w:pPr>
      <w:r>
        <w:rPr/>
        <w:t xml:space="preserve">If the same matter is being examined in another international</w:t>
      </w:r>
    </w:p>
    <w:p>
      <w:pPr/>
      <w:r>
        <w:rPr/>
        <w:t xml:space="preserve">procedure, inadmissibility risk may exist.</w:t>
      </w:r>
    </w:p>
    <w:p>
      <w:pPr>
        <w:numPr>
          <w:ilvl w:val="0"/>
          <w:numId w:val="1"/>
        </w:numPr>
      </w:pPr>
      <w:r>
        <w:rPr/>
        <w:t xml:space="preserve">UN Committee Against Torture (CAT – Article 22)</w:t>
      </w:r>
    </w:p>
    <w:p>
      <w:pPr>
        <w:numPr>
          <w:ilvl w:val="0"/>
          <w:numId w:val="1"/>
        </w:numPr>
      </w:pPr>
      <w:r>
        <w:rPr/>
        <w:t xml:space="preserve">Germany accepted CAT Article 22 – individual complaint</w:t>
      </w:r>
    </w:p>
    <w:p>
      <w:pPr/>
      <w:r>
        <w:rPr/>
        <w:t xml:space="preserve">possible.</w:t>
      </w:r>
    </w:p>
    <w:p>
      <w:pPr>
        <w:numPr>
          <w:ilvl w:val="0"/>
          <w:numId w:val="1"/>
        </w:numPr>
      </w:pPr>
      <w:r>
        <w:rPr/>
        <w:t xml:space="preserve">CRPD Committee (Optional Protocol)</w:t>
      </w:r>
    </w:p>
    <w:p>
      <w:pPr>
        <w:numPr>
          <w:ilvl w:val="0"/>
          <w:numId w:val="1"/>
        </w:numPr>
      </w:pPr>
      <w:r>
        <w:rPr/>
        <w:t xml:space="preserve">Germany ratified CRPD OP – individual complaint possible.</w:t>
      </w:r>
    </w:p>
    <w:p>
      <w:pPr>
        <w:numPr>
          <w:ilvl w:val="0"/>
          <w:numId w:val="1"/>
        </w:numPr>
      </w:pPr>
      <w:r>
        <w:rPr/>
        <w:t xml:space="preserve">EU level (limited)</w:t>
      </w:r>
    </w:p>
    <w:p>
      <w:pPr>
        <w:numPr>
          <w:ilvl w:val="0"/>
          <w:numId w:val="1"/>
        </w:numPr>
      </w:pPr>
      <w:r>
        <w:rPr/>
        <w:t xml:space="preserve">EU Charter (e.g., Article 47 effective remedy, Article 21</w:t>
      </w:r>
    </w:p>
    <w:p>
      <w:pPr/>
      <w:r>
        <w:rPr/>
        <w:t xml:space="preserve">non-discrimination, Article 26 integration of persons with</w:t>
      </w:r>
    </w:p>
    <w:p>
      <w:pPr/>
      <w:r>
        <w:rPr/>
        <w:t xml:space="preserve">disabilities) applies directly only when German authorities</w:t>
      </w:r>
    </w:p>
    <w:p>
      <w:pPr/>
      <w:r>
        <w:rPr/>
        <w:t xml:space="preserve">implement EU law.</w:t>
      </w:r>
    </w:p>
    <w:p>
      <w:pPr>
        <w:numPr>
          <w:ilvl w:val="0"/>
          <w:numId w:val="1"/>
        </w:numPr>
      </w:pPr>
      <w:r>
        <w:rPr/>
        <w:t xml:space="preserve">Then domestic court reliance on EU law and, if needed,</w:t>
      </w:r>
    </w:p>
    <w:p>
      <w:pPr/>
      <w:r>
        <w:rPr/>
        <w:t xml:space="preserve">preliminary reference to the CJEU becomes relevant.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642B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