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bookmarkStart w:id="0" w:name="_Toc0"/><w:r><w:t>Annex 16-7</w:t></w:r><w:bookmarkEnd w:id="0"/></w:p><w:p/><w:p><w:pPr/><w:r><w:rPr/><w:t xml:space="preserve">📌 II. ENGLISH VERSION – INVESTIGATION REPORT</w:t></w:r></w:p><w:p><w:pPr/><w:r><w:rPr/><w:t xml:space="preserve">(for courts, prosecutors, ECHR, UN bodies)</w:t></w:r></w:p><w:p><w:pPr/><w:r><w:rPr/><w:t xml:space="preserve">INDEPENDENT ANALYTICAL INVESTIGATION REPORT</w:t></w:r></w:p><w:p><w:pPr/><w:r><w:rPr/><w:t xml:space="preserve">(Prepared by ChatGPT – AI-based analytical instrument)</w:t></w:r></w:p><w:p><w:pPr/><w:r><w:rPr/><w:t xml:space="preserve">Subject:</w:t></w:r></w:p><w:p><w:pPr/><w:r><w:rPr/><w:t xml:space="preserve">Arcor AG & Co. KG – Proven contradictory billing, objectively impossible claims, and</w:t></w:r></w:p><w:p><w:pPr/><w:r><w:rPr/><w:t xml:space="preserve">continuing enforcement consequences</w:t></w:r></w:p><w:p><w:pPr/><w:r><w:rPr/><w:t xml:space="preserve">Notice regarding the source of this report</w:t></w:r></w:p><w:p><w:pPr/><w:r><w:rPr/><w:t xml:space="preserve">This report has been prepared by ChatGPT (artificial intelligence).</w:t></w:r></w:p><w:p><w:pPr/><w:r><w:rPr/><w:t xml:space="preserve">It does not constitute a personal opinion or subjective statement, but a structured legal and</w:t></w:r></w:p><w:p><w:pPr/><w:r><w:rPr/><w:t xml:space="preserve">factual analysis based exclusively on the documents, invoices, court records, and lawyer</w:t></w:r></w:p><w:p><w:pPr/><w:r><w:rPr/><w:t xml:space="preserve">correspondence provided.</w:t></w:r></w:p><w:p><w:pPr><w:numPr><w:ilvl w:val="0"/><w:numId w:val="1"/></w:numPr></w:pPr><w:r><w:rPr/><w:t xml:space="preserve">Affected Person</w:t></w:r></w:p><w:p><w:pPr/><w:r><w:rPr/><w:t xml:space="preserve">Ismail Rustam (Rüstern)</w:t></w:r></w:p><w:p><w:pPr/><w:r><w:rPr/><w:t xml:space="preserve">Berlin, Germany</w:t></w:r></w:p><w:p><w:pPr><w:numPr><w:ilvl w:val="0"/><w:numId w:val="1"/></w:numPr></w:pPr><w:r><w:rPr/><w:t xml:space="preserve">Temporal Scope and Case Background (2004–2010)</w:t></w:r></w:p><w:p><w:pPr/><w:r><w:rPr/><w:t xml:space="preserve">Contract initiation</w:t></w:r></w:p><w:p><w:pPr><w:numPr><w:ilvl w:val="0"/><w:numId w:val="1"/></w:numPr></w:pPr><w:r><w:rPr/><w:t xml:space="preserve">21 December 2004 – Application for a telecommunications connection with</w:t></w:r></w:p><w:p><w:pPr/><w:r><w:rPr/><w:t xml:space="preserve">Arcor</w:t></w:r></w:p><w:p><w:pPr/><w:r><w:rPr/><w:t xml:space="preserve">Actual activation</w:t></w:r></w:p><w:p><w:pPr><w:numPr><w:ilvl w:val="0"/><w:numId w:val="1"/></w:numPr></w:pPr><w:r><w:rPr/><w:t xml:space="preserve">02 May 2005 – Connection activated for the first time</w:t></w:r></w:p><w:p><w:pPr/><w:r><w:rPr/><w:t xml:space="preserve">→ Delay of approximately 5 months (instead of the contractually agreed 4–6 weeks)</w:t></w:r></w:p><w:p><w:pPr/><w:r><w:rPr/><w:t xml:space="preserve">Key outage and suspension periods</w:t></w:r></w:p><w:p><w:pPr/><w:r><w:rPr/><w:t xml:space="preserve">According to the documented record, the connection functioned only during the following</w:t></w:r></w:p><w:p><w:pPr/><w:r><w:rPr/><w:t xml:space="preserve">periods:</w:t></w:r></w:p><w:p><w:pPr><w:numPr><w:ilvl w:val="0"/><w:numId w:val="1"/></w:numPr></w:pPr><w:r><w:rPr/><w:t xml:space="preserve">02 May 2005 – 09 September 2005</w:t></w:r></w:p><w:p><w:pPr><w:numPr><w:ilvl w:val="0"/><w:numId w:val="1"/></w:numPr></w:pPr><w:r><w:rPr/><w:t xml:space="preserve">10 December 2005 – 08 February 2006</w:t></w:r></w:p><w:p><w:pPr/><w:r><w:rPr/><w:t xml:space="preserve">➡️ Outside these periods, the connection was either suspended or technically defective.</w:t></w:r></w:p><w:p><w:pPr/><w:r><w:rPr/><w:t xml:space="preserve">(This is repeatedly documented in lawyer correspondence by Attorney Harald Lilge.)</w:t></w:r></w:p><w:p><w:pPr><w:numPr><w:ilvl w:val="0"/><w:numId w:val="1"/></w:numPr></w:pPr><w:r><w:rPr/><w:t xml:space="preserve">Proven false and contradictory claims</w:t></w:r></w:p><w:p><w:pPr/><w:r><w:rPr/><w:t xml:space="preserve">a) Invoicing despite suspended connection</w:t></w:r></w:p><w:p><w:pPr/><w:r><w:rPr/><w:t xml:space="preserve">Arcor issued invoices for periods in which the connection was demonstrably unusable,</w:t></w:r></w:p><w:p><w:pPr/><w:r><w:rPr/><w:t xml:space="preserve">including:</w:t></w:r></w:p><w:p><w:pPr><w:numPr><w:ilvl w:val="0"/><w:numId w:val="1"/></w:numPr></w:pPr><w:r><w:rPr/><w:t xml:space="preserve">September 2005 – Claim of approximately €60.92, although usage was</w:t></w:r></w:p><w:p><w:pPr/><w:r><w:rPr/><w:t xml:space="preserve">possible only for a few days</w:t></w:r></w:p><w:p><w:pPr><w:numPr><w:ilvl w:val="0"/><w:numId w:val="1"/></w:numPr></w:pPr><w:r><w:rPr/><w:t xml:space="preserve">October–December 2005 – Full basic fees, despite factual non-use</w:t></w:r></w:p><w:p><w:pPr/><w:r><w:rPr/><w:t xml:space="preserve">b) Alleged call charges during suspension</w:t></w:r></w:p><w:p><w:pPr><w:numPr><w:ilvl w:val="0"/><w:numId w:val="1"/></w:numPr></w:pPr><w:r><w:rPr/><w:t xml:space="preserve">Arcor repeatedly stated in writing:</w:t></w:r></w:p><w:p><w:pPr/><w:r><w:rPr/><w:t xml:space="preserve">“The connection will not be activated / is suspended.”</w:t></w:r></w:p><w:p><w:pPr><w:numPr><w:ilvl w:val="0"/><w:numId w:val="1"/></w:numPr></w:pPr><w:r><w:rPr/><w:t xml:space="preserve">At the same time, Arcor asserted chargeable call costs (in part exceeding</w:t></w:r></w:p><w:p><w:pPr/><w:r><w:rPr/><w:t xml:space="preserve">€1,000).</w:t></w:r></w:p><w:p><w:pPr/><w:r><w:rPr/><w:t xml:space="preserve">➡️ Objectively and technically impossible:</w:t></w:r></w:p><w:p><w:pPr/><w:r><w:rPr/><w:t xml:space="preserve">A suspended connection cannot generate calls.</w:t></w:r></w:p><w:p><w:pPr><w:numPr><w:ilvl w:val="0"/><w:numId w:val="1"/></w:numPr></w:pPr><w:r><w:rPr/><w:t xml:space="preserve">Concrete monetary amounts and escalation</w:t></w:r></w:p><w:p><w:pPr/><w:r><w:rPr/><w:t xml:space="preserve">Initial claims</w:t></w:r></w:p><w:p><w:pPr><w:numPr><w:ilvl w:val="0"/><w:numId w:val="1"/></w:numPr></w:pPr><w:r><w:rPr/><w:t xml:space="preserve">Approx. €143.67 (September 2005), already paid despite missing invoices</w:t></w:r></w:p><w:p><w:pPr/><w:r><w:rPr/><w:t xml:space="preserve">Subsequent escalation via debt collection</w:t></w:r></w:p><w:p><w:pPr><w:numPr><w:ilvl w:val="0"/><w:numId w:val="1"/></w:numPr></w:pPr><w:r><w:rPr/><w:t xml:space="preserve">SNT Inkasso / GFKL / Infoscore</w:t></w:r></w:p><w:p><w:pPr><w:numPr><w:ilvl w:val="0"/><w:numId w:val="1"/></w:numPr></w:pPr><w:r><w:rPr/><w:t xml:space="preserve">Claims increased to:</w:t></w:r></w:p><w:p><w:pPr><w:numPr><w:ilvl w:val="0"/><w:numId w:val="1"/></w:numPr></w:pPr><w:r><w:rPr/><w:t xml:space="preserve">approx. €498</w:t></w:r></w:p><w:p><w:pPr><w:numPr><w:ilvl w:val="0"/><w:numId w:val="1"/></w:numPr></w:pPr><w:r><w:rPr/><w:t xml:space="preserve">later approx. €584.66</w:t></w:r></w:p><w:p><w:pPr><w:numPr><w:ilvl w:val="0"/><w:numId w:val="1"/></w:numPr></w:pPr><w:r><w:rPr/><w:t xml:space="preserve">later including interest and costs approx. €847.95</w:t></w:r></w:p><w:p><w:pPr/><w:r><w:rPr/><w:t xml:space="preserve">➡️ Exponential increase, despite the underlying claim never having been</w:t></w:r></w:p><w:p><w:pPr/><w:r><w:rPr/><w:t xml:space="preserve">substantiated or proven.</w:t></w:r></w:p><w:p><w:pPr><w:numPr><w:ilvl w:val="0"/><w:numId w:val="1"/></w:numPr></w:pPr><w:r><w:rPr/><w:t xml:space="preserve">Central falsehood / core contradiction by Arcor</w:t></w:r></w:p><w:p><w:pPr/><w:r><w:rPr/><w:t xml:space="preserve">Documented contradiction</w:t></w:r></w:p><w:p><w:pPr><w:numPr><w:ilvl w:val="0"/><w:numId w:val="1"/></w:numPr></w:pPr><w:r><w:rPr/><w:t xml:space="preserve">Arcor asserts:</w:t></w:r></w:p><w:p><w:pPr><w:numPr><w:ilvl w:val="0"/><w:numId w:val="1"/></w:numPr></w:pPr><w:r><w:rPr/><w:t xml:space="preserve">the connection is suspended</w:t></w:r></w:p><w:p><w:pPr><w:numPr><w:ilvl w:val="0"/><w:numId w:val="1"/></w:numPr></w:pPr><w:r><w:rPr/><w:t xml:space="preserve">payment is required before activation</w:t></w:r></w:p><w:p><w:pPr><w:numPr><w:ilvl w:val="0"/><w:numId w:val="1"/></w:numPr></w:pPr><w:r><w:rPr/><w:t xml:space="preserve">Simultaneously, Arcor claims:</w:t></w:r></w:p><w:p><w:pPr><w:numPr><w:ilvl w:val="0"/><w:numId w:val="1"/></w:numPr></w:pPr><w:r><w:rPr/><w:t xml:space="preserve">chargeable national and/or international calls occurred</w:t></w:r></w:p><w:p><w:pPr/><w:r><w:rPr/><w:t xml:space="preserve">➡️ Both statements cannot be true at the same time.</w:t></w:r></w:p><w:p><w:pPr/><w:r><w:rPr/><w:t xml:space="preserve">This constitutes an objective contradiction of facts.</w:t></w:r></w:p><w:p><w:pPr><w:numPr><w:ilvl w:val="0"/><w:numId w:val="1"/></w:numPr></w:pPr><w:r><w:rPr/><w:t xml:space="preserve">Procedural facts</w:t></w:r></w:p><w:p><w:pPr><w:numPr><w:ilvl w:val="0"/><w:numId w:val="1"/></w:numPr></w:pPr><w:r><w:rPr/><w:t xml:space="preserve">Objections (Widersprüche) against payment orders:</w:t></w:r></w:p><w:p><w:pPr><w:numPr><w:ilvl w:val="0"/><w:numId w:val="1"/></w:numPr></w:pPr><w:r><w:rPr/><w:t xml:space="preserve">filed in due time (2007, 2008)</w:t></w:r></w:p><w:p><w:pPr><w:numPr><w:ilvl w:val="0"/><w:numId w:val="1"/></w:numPr></w:pPr><w:r><w:rPr/><w:t xml:space="preserve">Proceedings were:</w:t></w:r></w:p><w:p><w:pPr><w:numPr><w:ilvl w:val="0"/><w:numId w:val="1"/></w:numPr></w:pPr><w:r><w:rPr/><w:t xml:space="preserve">delayed</w:t></w:r></w:p><w:p><w:pPr><w:numPr><w:ilvl w:val="0"/><w:numId w:val="1"/></w:numPr></w:pPr><w:r><w:rPr/><w:t xml:space="preserve">transferred between courts</w:t></w:r></w:p><w:p><w:pPr><w:numPr><w:ilvl w:val="0"/><w:numId w:val="1"/></w:numPr></w:pPr><w:r><w:rPr/><w:t xml:space="preserve">ultimately enforced without substantive judicial clarification</w:t></w:r></w:p><w:p><w:pPr/><w:r><w:rPr/><w:t xml:space="preserve">Case numbers (selection)</w:t></w:r></w:p><w:p><w:pPr><w:numPr><w:ilvl w:val="0"/><w:numId w:val="1"/></w:numPr></w:pPr><w:r><w:rPr/><w:t xml:space="preserve">District Court Hünfeld – 07-7180690-0-0</w:t></w:r></w:p><w:p><w:pPr><w:numPr><w:ilvl w:val="0"/><w:numId w:val="1"/></w:numPr></w:pPr><w:r><w:rPr/><w:t xml:space="preserve">District Court Wedding – 08-3763410-0-3</w:t></w:r></w:p><w:p><w:pPr><w:numPr><w:ilvl w:val="0"/><w:numId w:val="1"/></w:numPr></w:pPr><w:r><w:rPr/><w:t xml:space="preserve">District Court Tiergarten – transfer to contentious proceedings (2010)</w:t></w:r></w:p><w:p><w:pPr><w:numPr><w:ilvl w:val="0"/><w:numId w:val="1"/></w:numPr></w:pPr><w:r><w:rPr/><w:t xml:space="preserve">Violated legal provisions (Germany)</w:t></w:r></w:p><w:p><w:pPr/><w:r><w:rPr/><w:t xml:space="preserve">German Basic Law (Constitution)</w:t></w:r></w:p><w:p><w:pPr><w:numPr><w:ilvl w:val="0"/><w:numId w:val="1"/></w:numPr></w:pPr><w:r><w:rPr/><w:t xml:space="preserve">Art. 1(1) – Human dignity</w:t></w:r></w:p><w:p><w:pPr><w:numPr><w:ilvl w:val="0"/><w:numId w:val="1"/></w:numPr></w:pPr><w:r><w:rPr/><w:t xml:space="preserve">Art. 2(1) – General freedom of action</w:t></w:r></w:p><w:p><w:pPr><w:numPr><w:ilvl w:val="0"/><w:numId w:val="1"/></w:numPr></w:pPr><w:r><w:rPr/><w:t xml:space="preserve">Art. 3(1) – Equality before the law</w:t></w:r></w:p><w:p><w:pPr><w:numPr><w:ilvl w:val="0"/><w:numId w:val="1"/></w:numPr></w:pPr><w:r><w:rPr/><w:t xml:space="preserve">Art. 20(3) – Rule of law principle</w:t></w:r></w:p><w:p><w:pPr/><w:r><w:rPr/><w:t xml:space="preserve">German Civil Code (BGB)</w:t></w:r></w:p><w:p><w:pPr><w:numPr><w:ilvl w:val="0"/><w:numId w:val="1"/></w:numPr></w:pPr><w:r><w:rPr/><w:t xml:space="preserve">§ 242 – Good faith</w:t></w:r></w:p><w:p><w:pPr><w:numPr><w:ilvl w:val="0"/><w:numId w:val="1"/></w:numPr></w:pPr><w:r><w:rPr/><w:t xml:space="preserve">§ 280 – Liability for breach of duty</w:t></w:r></w:p><w:p><w:pPr><w:numPr><w:ilvl w:val="0"/><w:numId w:val="1"/></w:numPr></w:pPr><w:r><w:rPr/><w:t xml:space="preserve">§ 326 – No consideration without performance</w:t></w:r></w:p><w:p><w:pPr/><w:r><w:rPr/><w:t xml:space="preserve">Telecommunications Law (TKG, former version)</w:t></w:r></w:p><w:p><w:pPr><w:numPr><w:ilvl w:val="0"/><w:numId w:val="1"/></w:numPr></w:pPr><w:r><w:rPr/><w:t xml:space="preserve">Obligation of transparent and verifiable billing</w:t></w:r></w:p><w:p><w:pPr><w:numPr><w:ilvl w:val="0"/><w:numId w:val="1"/></w:numPr></w:pPr><w:r><w:rPr/><w:t xml:space="preserve">Obligation to provide itemized call records upon dispute</w:t></w:r></w:p><w:p><w:pPr><w:numPr><w:ilvl w:val="0"/><w:numId w:val="1"/></w:numPr></w:pPr><w:r><w:rPr/><w:t xml:space="preserve">Conclusion</w:t></w:r></w:p><w:p><w:pPr/><w:r><w:rPr/><w:t xml:space="preserve">Based on an objective analysis of the documents, the following conclusions are reached:</w:t></w:r></w:p><w:p><w:pPr><w:numPr><w:ilvl w:val="0"/><w:numId w:val="1"/></w:numPr></w:pPr><w:r><w:rPr/><w:t xml:space="preserve">Arcor’s claims are not based on verifiable services</w:t></w:r></w:p><w:p><w:pPr><w:numPr><w:ilvl w:val="0"/><w:numId w:val="1"/></w:numPr></w:pPr><w:r><w:rPr/><w:t xml:space="preserve">Key billing components are technically impossible</w:t></w:r></w:p><w:p><w:pPr><w:numPr><w:ilvl w:val="0"/><w:numId w:val="1"/></w:numPr></w:pPr><w:r><w:rPr/><w:t xml:space="preserve">Debt collection and enforcement were carried out without substantive</w:t></w:r></w:p><w:p><w:pPr/><w:r><w:rPr/><w:t xml:space="preserve">clarification</w:t></w:r></w:p><w:p><w:pPr><w:numPr><w:ilvl w:val="0"/><w:numId w:val="1"/></w:numPr></w:pPr><w:r><w:rPr/><w:t xml:space="preserve">The consequences persist to this day (ongoing enforcement and account</w:t></w:r></w:p><w:p><w:pPr/><w:r><w:rPr/><w:t xml:space="preserve">seizures)</w:t></w:r></w:p><w:p><w:pPr/><w:r><w:rPr/><w:t xml:space="preserve">➡️ Judicial reassessment and an official investigation are objectively required.</w:t></w:r></w:p><w:p><w:pPr/><w:r><w:rPr/><w:t xml:space="preserve">Declaration</w:t></w:r></w:p><w:p><w:pPr/><w:r><w:rPr/><w:t xml:space="preserve">This report represents an independent analytical assessment generated by ChatGPT, based</w:t></w:r></w:p><w:p><w:pPr/><w:r><w:rPr/><w:t xml:space="preserve">solely on documentary evidence.</w:t></w:r></w:p><w:p><w:pPr/><w:r><w:rPr/><w:t xml:space="preserve">It is intended to support judicial, prosecutorial, and international human-rights review, not to</w:t></w:r></w:p><w:p><w:pPr/><w:r><w:rPr/><w:t xml:space="preserve">replace judicial determination.</w:t></w:r></w:p><w:sectPr><w:pgSz w:orient="portrait" w:w="11905.511811023622" w:h="16837.79527559055"/><w:pgMar w:top="1133.8582677165352" w:right="1133.8582677165352" w:bottom="1133.8582677165352" w:left="1247.244094488189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92F83555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Arial" w:cs="Times New Roman"/>
        <w:color w:val="000000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2026-09-21T17:03:31+02:00</dcterms:created>
  <dcterms:modified xsi:type="dcterms:W3CDTF">2026-09-21T17:03:31+02:00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