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Annex16-10</w:t></w:r><w:bookmarkEnd w:id="0"/></w:p><w:p/><w:p><w:pPr/><w:r><w:rPr/><w:t xml:space="preserve">If you want, I can also deliver this as a clean file</w:t></w:r></w:p><w:p><w:pPr/><w:r><w:rPr/><w:t xml:space="preserve">If you tell me “DOCX” or “PDF”, I will format the English report as a submission-style</w:t></w:r></w:p><w:p><w:pPr/><w:r><w:rPr/><w:t xml:space="preserve">document and include the Azerbaijani original as an annex—so nothing can be lost.</w:t></w:r></w:p><w:p><w:pPr/><w:r><w:rPr/><w:t xml:space="preserve">And if you upload the 3 PDFs you referenced ( page 450 / page 423 / page 46) into this chat,</w:t></w:r></w:p><w:p><w:pPr/><w:r><w:rPr/><w:t xml:space="preserve">I can add exact page citations for every factual sentence, which is what UN CAT submissions</w:t></w:r></w:p><w:p><w:pPr/><w:r><w:rPr/><w:t xml:space="preserve">are usually strongest with.</w:t></w:r></w:p><w:p><w:pPr/><w:r><w:rPr/><w:t xml:space="preserve">==================================================================</w:t></w:r></w:p><w:p><w:pPr/><w:r><w:rPr/><w:t xml:space="preserve">================================</w:t></w:r></w:p><w:p><w:pPr/><w:r><w:rPr/><w:t xml:space="preserve">ChatGBT reporte PDF</w:t></w:r></w:p><w:p><w:pPr/><w:r><w:rPr/><w:t xml:space="preserve">REVISED ENGLISH REPORT</w:t></w:r></w:p><w:p><w:pPr/><w:r><w:rPr/><w:t xml:space="preserve">EU/ECHR and UN Treaty Mapping + Medical & Procedural Timeline (Based on the</w:t></w:r></w:p><w:p><w:pPr/><w:r><w:rPr/><w:t xml:space="preserve">Provided PDFs)</w:t></w:r></w:p><w:p><w:pPr/><w:r><w:rPr/><w:t xml:space="preserve">Important note (scope): This report is a document-based analytical summary for human-rights</w:t></w:r></w:p><w:p><w:pPr/><w:r><w:rPr/><w:t xml:space="preserve">framing. It is not legal advice and does not determine guilt or a final violation “verdict.” It</w:t></w:r></w:p><w:p><w:pPr/><w:r><w:rPr/><w:t xml:space="preserve">identifies which EU/ECHR and UN instruments are plausibly engaged by the facts and</w:t></w:r></w:p><w:p><w:pPr/><w:r><w:rPr/><w:t xml:space="preserve">procedural history visible in the file.</w:t></w:r></w:p><w:p><w:pPr/><w:r><w:rPr/><w:t xml:space="preserve">⸻</w:t></w:r></w:p><w:p><w:pPr><w:numPr><w:ilvl w:val="0"/><w:numId w:val="1"/></w:numPr></w:pPr><w:r><w:rPr/><w:t xml:space="preserve">Sources reviewed (what is in the file)</w:t></w:r></w:p><w:p><w:pPr/><w:r><w:rPr/><w:t xml:space="preserve">The two uploaded PDFs contain:</w:t></w:r></w:p><w:p><w:pPr><w:numPr><w:ilvl w:val="0"/><w:numId w:val="1"/></w:numPr></w:pPr><w:r><w:rPr/><w:t xml:space="preserve">complaints/letters about detention events (including alleged ill-treatment),</w:t></w:r></w:p><w:p><w:pPr><w:numPr><w:ilvl w:val="0"/><w:numId w:val="1"/></w:numPr></w:pPr><w:r><w:rPr/><w:t xml:space="preserve">requests for medical records and responses by authorities,</w:t></w:r></w:p><w:p><w:pPr><w:numPr><w:ilvl w:val="0"/><w:numId w:val="1"/></w:numPr></w:pPr><w:r><w:rPr/><w:t xml:space="preserve">medical letters/certificates and hospital discharge information,</w:t></w:r></w:p><w:p><w:pPr><w:numPr><w:ilvl w:val="0"/><w:numId w:val="1"/></w:numPr></w:pPr><w:r><w:rPr/><w:t xml:space="preserve">correspondence with human-rights bodies (e.g., Amnesty),</w:t></w:r></w:p><w:p><w:pPr><w:numPr><w:ilvl w:val="0"/><w:numId w:val="1"/></w:numPr></w:pPr><w:r><w:rPr/><w:t xml:space="preserve">and German court documents (including decisions by Kammergericht and</w:t></w:r></w:p><w:p><w:pPr/><w:r><w:rPr/><w:t xml:space="preserve">Landgericht Berlin) plus references to prosecution decisions.</w:t></w:r></w:p><w:p><w:pPr/><w:r><w:rPr/><w:t xml:space="preserve">⸻</w:t></w:r></w:p><w:p><w:pPr><w:numPr><w:ilvl w:val="0"/><w:numId w:val="1"/></w:numPr></w:pPr><w:r><w:rPr/><w:t xml:space="preserve">Documented actors / institutions named in the file (who is “involved”)</w:t></w:r></w:p><w:p><w:pPr/><w:r><w:rPr/><w:t xml:space="preserve">Below is a consolidated list of the institutions and persons explicitly named in the documents</w:t></w:r></w:p><w:p><w:pPr/><w:r><w:rPr/><w:t xml:space="preserve">(this addresses your point that an earlier summary did not show “who participated / which</w:t></w:r></w:p><w:p><w:pPr/><w:r><w:rPr/><w:t xml:space="preserve">bodies are in the file”):</w:t></w:r></w:p><w:p><w:pPr/><w:r><w:rPr/><w:t xml:space="preserve">A) Detention / police / administrative bodies</w:t></w:r></w:p><w:p><w:pPr><w:numPr><w:ilvl w:val="0"/><w:numId w:val="1"/></w:numPr></w:pPr><w:r><w:rPr/><w:t xml:space="preserve">Abschiebungsgewahrsam Köpenick (deportation detention) and its</w:t></w:r></w:p><w:p><w:pPr/><w:r><w:rPr/><w:t xml:space="preserve">administration/board (letters addressed to “Beirat” and management).</w:t></w:r></w:p><w:p><w:pPr><w:numPr><w:ilvl w:val="0"/><w:numId w:val="1"/></w:numPr></w:pPr><w:r><w:rPr/><w:t xml:space="preserve">Der Polizeipräsident in Berlin (incl. Direktion Zentrale Aufgaben /</w:t></w:r></w:p><w:p><w:pPr/><w:r><w:rPr/><w:t xml:space="preserve">Gefangenenwesen) – correspondence about access to medical records; later complaint</w:t></w:r></w:p><w:p><w:pPr/><w:r><w:rPr/><w:t xml:space="preserve">correspondence.</w:t></w:r></w:p><w:p><w:pPr><w:numPr><w:ilvl w:val="0"/><w:numId w:val="1"/></w:numPr></w:pPr><w:r><w:rPr/><w:t xml:space="preserve">Landesamt für Bürger- und Ordnungsangelegenheiten (LABO),</w:t></w:r></w:p><w:p><w:pPr/><w:r><w:rPr/><w:t xml:space="preserve">Ausländerbehörde – referenced as the authority for immigration file inquiries.</w:t></w:r></w:p><w:p><w:pPr/><w:r><w:rPr/><w:t xml:space="preserve">B) Courts / prosecution / parliamentary remedies (explicitly named)</w:t></w:r></w:p><w:p><w:pPr><w:numPr><w:ilvl w:val="0"/><w:numId w:val="1"/></w:numPr></w:pPr><w:r><w:rPr/><w:t xml:space="preserve">Amtsgericht Tiergarten (Berlin) – referenced in connection with a decision</w:t></w:r></w:p><w:p><w:pPr/><w:r><w:rPr/><w:t xml:space="preserve">later reviewed by Landgericht Berlin.</w:t></w:r></w:p><w:p><w:pPr><w:numPr><w:ilvl w:val="0"/><w:numId w:val="1"/></w:numPr></w:pPr><w:r><w:rPr/><w:t xml:space="preserve">Landgericht Berlin – multiple items, including a formal “Beschluss” and</w:t></w:r></w:p><w:p><w:pPr/><w:r><w:rPr/><w:t xml:space="preserve">references to later proceedings.</w:t></w:r></w:p><w:p><w:pPr><w:numPr><w:ilvl w:val="0"/><w:numId w:val="1"/></w:numPr></w:pPr><w:r><w:rPr/><w:t xml:space="preserve">Kammergericht Berlin – formal “Beschluss” in an investigation regarding</w:t></w:r></w:p><w:p><w:pPr/><w:r><w:rPr/><w:t xml:space="preserve">detention staff; also addressed in multiple later letters.</w:t></w:r></w:p><w:p><w:pPr><w:numPr><w:ilvl w:val="0"/><w:numId w:val="1"/></w:numPr></w:pPr><w:r><w:rPr/><w:t xml:space="preserve">Generalstaatsanwaltschaft Berlin – referenced as having issued a decision that</w:t></w:r></w:p><w:p><w:pPr/><w:r><w:rPr/><w:t xml:space="preserve">was challenged.</w:t></w:r></w:p><w:p><w:pPr><w:numPr><w:ilvl w:val="0"/><w:numId w:val="1"/></w:numPr></w:pPr><w:r><w:rPr/><w:t xml:space="preserve">Bundesgerichtshof (Federal Court of Justice) – addressed in a “Widerspruch”</w:t></w:r></w:p><w:p><w:pPr/><w:r><w:rPr/><w:t xml:space="preserve">letter with a file reference.</w:t></w:r></w:p><w:p><w:pPr><w:numPr><w:ilvl w:val="0"/><w:numId w:val="1"/></w:numPr></w:pPr><w:r><w:rPr/><w:t xml:space="preserve">Deutscher Bundestag – Petitionsausschuss (Petitions Committee) –</w:t></w:r></w:p><w:p><w:pPr/><w:r><w:rPr/><w:t xml:space="preserve">“Widerspruch” letter with a petition number.</w:t></w:r></w:p><w:p><w:pPr/><w:r><w:rPr/><w:t xml:space="preserve">C) Human-rights bodies / NGOs explicitly mentioned</w:t></w:r></w:p><w:p><w:pPr><w:numPr><w:ilvl w:val="0"/><w:numId w:val="1"/></w:numPr></w:pPr><w:r><w:rPr/><w:t xml:space="preserve">Amnesty International – direct letter addressed to Amnesty International’s</w:t></w:r></w:p><w:p><w:pPr/><w:r><w:rPr/><w:t xml:space="preserve">International Secretariat; Amnesty is also mentioned in clinical/social-work notes.</w:t></w:r></w:p><w:p><w:pPr><w:numPr><w:ilvl w:val="0"/><w:numId w:val="1"/></w:numPr></w:pPr><w:r><w:rPr/><w:t xml:space="preserve">European Court of Human Rights (ECtHR) – the file includes letters</w:t></w:r></w:p><w:p><w:pPr/><w:r><w:rPr/><w:t xml:space="preserve">indicating an ECtHR application with a case number and ongoing procedure references.</w:t></w:r></w:p><w:p><w:pPr><w:numPr><w:ilvl w:val="0"/><w:numId w:val="1"/></w:numPr></w:pPr><w:r><w:rPr/><w:t xml:space="preserve">UN (“the UN”) – the file includes statements that copies of petitions/letters</w:t></w:r></w:p><w:p><w:pPr/><w:r><w:rPr/><w:t xml:space="preserve">were sent “to the UN,” and that neutral UN/EU experts were requested.</w:t></w:r></w:p><w:p><w:pPr><w:numPr><w:ilvl w:val="0"/><w:numId w:val="1"/></w:numPr></w:pPr><w:r><w:rPr/><w:t xml:space="preserve">Red Cross (“Rotes Kreuz”) – mentioned as an organization contacted for help</w:t></w:r></w:p><w:p><w:pPr/><w:r><w:rPr/><w:t xml:space="preserve">in clinical notes.</w:t></w:r></w:p><w:p><w:pPr><w:numPr><w:ilvl w:val="0"/><w:numId w:val="1"/></w:numPr></w:pPr><w:r><w:rPr/><w:t xml:space="preserve">European Parliament – mentioned in clinical notes (planned protest action).</w:t></w:r></w:p><w:p><w:pPr/><w:r><w:rPr/><w:t xml:space="preserve">D) Medical institutions named</w:t></w:r></w:p><w:p><w:pPr><w:numPr><w:ilvl w:val="0"/><w:numId w:val="1"/></w:numPr></w:pPr><w:r><w:rPr/><w:t xml:space="preserve">Vivantes (incl. Auguste-Viktoria-Klinikum / Klinik for Internal Medicine –</w:t></w:r></w:p><w:p><w:pPr/><w:r><w:rPr/><w:t xml:space="preserve">Infectiology / Gastroenterology; doctor letter dated 04.07.2011).</w:t></w:r></w:p><w:p><w:pPr><w:numPr><w:ilvl w:val="0"/><w:numId w:val="1"/></w:numPr></w:pPr><w:r><w:rPr/><w:t xml:space="preserve">Franziskus-Krankenhaus – explicitly named as the transferring hospital in</w:t></w:r></w:p><w:p><w:pPr/><w:r><w:rPr/><w:t xml:space="preserve">2011.</w:t></w:r></w:p><w:p><w:pPr><w:numPr><w:ilvl w:val="0"/><w:numId w:val="1"/></w:numPr></w:pPr><w:r><w:rPr/><w:t xml:space="preserve">DRK Kliniken Berlin Köpenick – correspondence about not locating older</w:t></w:r></w:p><w:p><w:pPr/><w:r><w:rPr/><w:t xml:space="preserve">records (2005).</w:t></w:r></w:p><w:p><w:pPr><w:numPr><w:ilvl w:val="0"/><w:numId w:val="1"/></w:numPr></w:pPr><w:r><w:rPr/><w:t xml:space="preserve">Krankenhaus der Berliner Vollzugsanstalten (prison hospital) –</w:t></w:r></w:p><w:p><w:pPr/><w:r><w:rPr/><w:t xml:space="preserve">diagnostics/endoscopy/sonography records.</w:t></w:r></w:p><w:p><w:pPr><w:numPr><w:ilvl w:val="0"/><w:numId w:val="1"/></w:numPr></w:pPr><w:r><w:rPr/><w:t xml:space="preserve">Charité – referenced in several places, including past psychiatric treatment</w:t></w:r></w:p><w:p><w:pPr/><w:r><w:rPr/><w:t xml:space="preserve">references.</w:t></w:r></w:p><w:p><w:pPr/><w:r><w:rPr/><w:t xml:space="preserve">⸻</w:t></w:r></w:p><w:p><w:pPr><w:numPr><w:ilvl w:val="0"/><w:numId w:val="1"/></w:numPr></w:pPr><w:r><w:rPr/><w:t xml:space="preserve">Key medical point you raised: “schizophrenia diagnosis” vs fever/infection context</w:t></w:r></w:p><w:p><w:pPr/><w:r><w:rPr/><w:t xml:space="preserve">A crucial correction/clarification from the documents:</w:t></w:r></w:p><w:p><w:pPr><w:numPr><w:ilvl w:val="0"/><w:numId w:val="1"/></w:numPr></w:pPr><w:r><w:rPr/><w:t xml:space="preserve">In the Vivantes doctor letter dated 04.07.2011, the diagnosis list includes “V.a.</w:t></w:r></w:p><w:p><w:pPr/><w:r><w:rPr/><w:t xml:space="preserve">paranoide Schizophrenie” (German “V.a.” = Verdacht auf = “suspected”, not necessarily</w:t></w:r></w:p><w:p><w:pPr/><w:r><w:rPr/><w:t xml:space="preserve">a finalized diagnosis).</w:t></w:r></w:p><w:p><w:pPr><w:numPr><w:ilvl w:val="0"/><w:numId w:val="1"/></w:numPr></w:pPr><w:r><w:rPr/><w:t xml:space="preserve">The same letter clearly states the reason for admission was transfer from</w:t></w:r></w:p><w:p><w:pPr/><w:r><w:rPr/><w:t xml:space="preserve">Franziskus-Krankenhaus with fever (Fieber), recurrent vomiting (rez. Erbrechen), and</w:t></w:r></w:p><w:p><w:pPr/><w:r><w:rPr/><w:t xml:space="preserve">swallowing difficulties (Schluckbeschwerden), plus infectious-disease treatment and</w:t></w:r></w:p><w:p><w:pPr/><w:r><w:rPr/><w:t xml:space="preserve">endoscopy findings (e.g., Soorösophagitis). This supports your point that the psychiatric</w:t></w:r></w:p><w:p><w:pPr/><w:r><w:rPr/><w:t xml:space="preserve">label appears in a context of serious acute physical illness, not “purely psychiatric</w:t></w:r></w:p><w:p><w:pPr/><w:r><w:rPr/><w:t xml:space="preserve">admission.”</w:t></w:r></w:p><w:p><w:pPr><w:numPr><w:ilvl w:val="0"/><w:numId w:val="1"/></w:numPr></w:pPr><w:r><w:rPr/><w:t xml:space="preserve">A later psychiatric/social-work section in the same clinical material describes</w:t></w:r></w:p><w:p><w:pPr/><w:r><w:rPr/><w:t xml:space="preserve">extensive legal/social conflict, notes the patient’s belief that many institutions failed to</w:t></w:r></w:p><w:p><w:pPr/><w:r><w:rPr/><w:t xml:space="preserve">help, and explicitly mentions that he sought help from Amnesty International, political</w:t></w:r></w:p><w:p><w:pPr/><w:r><w:rPr/><w:t xml:space="preserve">parties, and the Red Cross, and also notes statements like “he is NOT schizophrenic”</w:t></w:r></w:p><w:p><w:pPr/><w:r><w:rPr/><w:t xml:space="preserve">appearing in that narrative context.</w:t></w:r></w:p><w:p><w:pPr/><w:r><w:rPr/><w:t xml:space="preserve">⸻</w:t></w:r></w:p><w:p><w:pPr><w:numPr><w:ilvl w:val="0"/><w:numId w:val="1"/></w:numPr></w:pPr><w:r><w:rPr/><w:t xml:space="preserve">Procedural timeline (courts/complaints/“why they did not examine”)</w:t></w:r></w:p><w:p><w:pPr/><w:r><w:rPr/><w:t xml:space="preserve">This section directly answers your criticism that earlier summaries did not mention court</w:t></w:r></w:p><w:p><w:pPr/><w:r><w:rPr/><w:t xml:space="preserve">instances and reasons.</w:t></w:r></w:p><w:p><w:pPr/><w:r><w:rPr/><w:t xml:space="preserve">4.1. 1999 detention complaint content</w:t></w:r></w:p><w:p><w:pPr/><w:r><w:rPr/><w:t xml:space="preserve">The file contains a detailed written complaint describing alleged ill-treatment in detention</w:t></w:r></w:p><w:p><w:pPr/><w:r><w:rPr/><w:t xml:space="preserve">(dated around 02.11.1999) and a request for information about health/illness and treatment.</w:t></w:r></w:p><w:p><w:pPr/><w:r><w:rPr/><w:t xml:space="preserve">4.2. Requests for medical records (2005)</w:t></w:r></w:p><w:p><w:pPr><w:numPr><w:ilvl w:val="0"/><w:numId w:val="1"/></w:numPr></w:pPr><w:r><w:rPr/><w:t xml:space="preserve">06.04.2005: letters requesting copies of medical records from the detention</w:t></w:r></w:p><w:p><w:pPr/><w:r><w:rPr/><w:t xml:space="preserve">administration and from DRK Klinikum Berlin-Köpenick.</w:t></w:r></w:p><w:p><w:pPr><w:numPr><w:ilvl w:val="0"/><w:numId w:val="1"/></w:numPr></w:pPr><w:r><w:rPr/><w:t xml:space="preserve">Police President Berlin letter: states documents cannot be sent by post;</w:t></w:r></w:p><w:p><w:pPr/><w:r><w:rPr/><w:t xml:space="preserve">inspection possible by appointment; refers also to LABO/Ausländerbehörde for</w:t></w:r></w:p><w:p><w:pPr/><w:r><w:rPr/><w:t xml:space="preserve">immigration file issues (note: the letter header shows a date “15.04.2004” while also</w:t></w:r></w:p><w:p><w:pPr/><w:r><w:rPr/><w:t xml:space="preserve">referring to receipt of a 2005 letter—an internal inconsistency visible in the document).</w:t></w:r></w:p><w:p><w:pPr><w:numPr><w:ilvl w:val="0"/><w:numId w:val="1"/></w:numPr></w:pPr><w:r><w:rPr/><w:t xml:space="preserve">DRK Kliniken Berlin Köpenick (04.05.2005): states they cannot locate the</w:t></w:r></w:p><w:p><w:pPr/><w:r><w:rPr/><w:t xml:space="preserve">“Erste Hilfe” / inpatient station data and asks for more details on the stay.</w:t></w:r></w:p><w:p><w:pPr/><w:r><w:rPr/><w:t xml:space="preserve">4.3. Complaint to Police President and named witnesses (2005)</w:t></w:r></w:p><w:p><w:pPr><w:numPr><w:ilvl w:val="0"/><w:numId w:val="1"/></w:numPr></w:pPr><w:r><w:rPr/><w:t xml:space="preserve">22.06.2005: letter to Polizeipräsident von Berlin (z.Hd. Herr Dieter Glietsch)</w:t></w:r></w:p><w:p><w:pPr/><w:r><w:rPr/><w:t xml:space="preserve">referencing a complaint/lawsuit (stated as “Meine Klage von 21.03.05”) regarding the</w:t></w:r></w:p><w:p><w:pPr/><w:r><w:rPr/><w:t xml:space="preserve">“tragedy” of 02.11.1999, asking that witnesses be heard. Two witnesses are explicitly</w:t></w:r></w:p><w:p><w:pPr/><w:r><w:rPr/><w:t xml:space="preserve">named: Faiq Hüseyinli and Svetlana Pozuk.</w:t></w:r></w:p><w:p><w:pPr/><w:r><w:rPr/><w:t xml:space="preserve">4.4. German criminal-procedure “why the court did not examine” (Kammergericht decision)</w:t></w:r></w:p><w:p><w:pPr/><w:r><w:rPr/><w:t xml:space="preserve">A key document is a Kammergericht Berlin “Beschluss” dated 11 December 2007 in an</w:t></w:r></w:p><w:p><w:pPr/><w:r><w:rPr/><w:t xml:space="preserve">investigation against employees of the deportation detention for “Körperverletzung im Amt</w:t></w:r></w:p><w:p><w:pPr/><w:r><w:rPr/><w:t xml:space="preserve">u.a.” (bodily injury in office, etc.).</w:t></w:r></w:p><w:p><w:pPr/><w:r><w:rPr/><w:t xml:space="preserve">What it decides (the “why not examined” reason):</w:t></w:r></w:p><w:p><w:pPr/><w:r><w:rPr/><w:t xml:space="preserve">The Kammergericht states that the applicant’s request for judicial review of a decision by the</w:t></w:r></w:p><w:p><w:pPr/><w:r><w:rPr/><w:t xml:space="preserve">Generalstaatsanwaltschaft Berlin (16 Oct 2007) is rejected as inadmissible because:</w:t></w:r></w:p><w:p><w:pPr><w:numPr><w:ilvl w:val="0"/><w:numId w:val="1"/></w:numPr></w:pPr><w:r><w:rPr/><w:t xml:space="preserve">it was not filed within the one-month deadline (Monatsfrist) under § 172 Abs.</w:t></w:r></w:p><w:p><w:pPr/><w:r><w:rPr/><w:t xml:space="preserve">2 Satz 1 StPO, and</w:t></w:r></w:p><w:p><w:pPr><w:numPr><w:ilvl w:val="0"/><w:numId w:val="1"/></w:numPr></w:pPr><w:r><w:rPr/><w:t xml:space="preserve">it was not signed by a lawyer as required by § 172 Abs. 3 Satz 2 StPO.</w:t></w:r></w:p><w:p><w:pPr/><w:r><w:rPr/><w:t xml:space="preserve">This is a concrete, document-based procedural reason explaining why the court did not</w:t></w:r></w:p><w:p><w:pPr/><w:r><w:rPr/><w:t xml:space="preserve">reach the merits of that specific remedy attempt.</w:t></w:r></w:p><w:p><w:pPr/><w:r><w:rPr/><w:t xml:space="preserve">4.5. Other documented courts / remedies in the file</w:t></w:r></w:p><w:p><w:pPr><w:numPr><w:ilvl w:val="0"/><w:numId w:val="1"/></w:numPr></w:pPr><w:r><w:rPr/><w:t xml:space="preserve">Landgericht Berlin “Beschluss” (17.12.2003) connected to an Amtsgericht</w:t></w:r></w:p><w:p><w:pPr/><w:r><w:rPr/><w:t xml:space="preserve">Tiergarten decision, declaring a reopening (Wiederaufnahme) admissible in a criminal</w:t></w:r></w:p><w:p><w:pPr/><w:r><w:rPr/><w:t xml:space="preserve">matter (Ausländergesetz context).</w:t></w:r></w:p><w:p><w:pPr><w:numPr><w:ilvl w:val="0"/><w:numId w:val="1"/></w:numPr></w:pPr><w:r><w:rPr/><w:t xml:space="preserve">Bundestag Petitions Committee (30.04.2008): “Widerspruch” with a petition</w:t></w:r></w:p><w:p><w:pPr/><w:r><w:rPr/><w:t xml:space="preserve">number; the letter states copies are sent to the UN and the European Court of Human</w:t></w:r></w:p><w:p><w:pPr/><w:r><w:rPr/><w:t xml:space="preserve">Rights (procedure no. 6859/08 referenced).</w:t></w:r></w:p><w:p><w:pPr><w:numPr><w:ilvl w:val="0"/><w:numId w:val="1"/></w:numPr></w:pPr><w:r><w:rPr/><w:t xml:space="preserve">Amnesty International letter (05.05.2008): direct complaint to Amnesty about</w:t></w:r></w:p><w:p><w:pPr/><w:r><w:rPr/><w:t xml:space="preserve">human-rights violations, listing medical conditions and describing systemic abuse</w:t></w:r></w:p><w:p><w:pPr/><w:r><w:rPr/><w:t xml:space="preserve">claims.</w:t></w:r></w:p><w:p><w:pPr><w:numPr><w:ilvl w:val="0"/><w:numId w:val="1"/></w:numPr></w:pPr><w:r><w:rPr/><w:t xml:space="preserve">ECtHR application reference (04.03.2008): letter to a lawyer (Jörg</w:t></w:r></w:p><w:p><w:pPr/><w:r><w:rPr/><w:t xml:space="preserve">Heynemann) stating an application at the European Court of Human Rights filed on</w:t></w:r></w:p><w:p><w:pPr/><w:r><w:rPr/><w:t xml:space="preserve">15.02.2008, case no. 6859/08, requesting documents to continue the procedure.</w:t></w:r></w:p><w:p><w:pPr><w:numPr><w:ilvl w:val="0"/><w:numId w:val="1"/></w:numPr></w:pPr><w:r><w:rPr/><w:t xml:space="preserve">Bundesgerichtshof letter (18.08.2009): “Widerspruch,” file reference 2 ARS</w:t></w:r></w:p><w:p><w:pPr/><w:r><w:rPr/><w:t xml:space="preserve">346/09, challenging a response by the Federal Prosecutor (Bundesgeneralstaatsanwalt)</w:t></w:r></w:p><w:p><w:pPr/><w:r><w:rPr/><w:t xml:space="preserve">and insisting on an investigation.</w:t></w:r></w:p><w:p><w:pPr/><w:r><w:rPr/><w:t xml:space="preserve">⸻</w:t></w:r></w:p><w:p><w:pPr><w:numPr><w:ilvl w:val="0"/><w:numId w:val="1"/></w:numPr></w:pPr><w:r><w:rPr/><w:t xml:space="preserve">Which EU/ECHR and UN instruments are implicated (based on the file)</w:t></w:r></w:p><w:p><w:pPr/><w:r><w:rPr/><w:t xml:space="preserve">Below is a structured mapping. “Implicated/engaged” means arguable based on the</w:t></w:r></w:p><w:p><w:pPr/><w:r><w:rPr/><w:t xml:space="preserve">documented allegations + procedural record.</w:t></w:r></w:p><w:p><w:pPr/><w:r><w:rPr/><w:t xml:space="preserve">5.1 Alleged ill-treatment in detention and state responsibility</w:t></w:r></w:p><w:p><w:pPr/><w:r><w:rPr/><w:t xml:space="preserve">European (ECHR / Council of Europe)</w:t></w:r></w:p><w:p><w:pPr><w:numPr><w:ilvl w:val="0"/><w:numId w:val="1"/></w:numPr></w:pPr><w:r><w:rPr/><w:t xml:space="preserve">ECHR Article 3 (Prohibition of torture / inhuman or degrading treatment):</w:t></w:r></w:p><w:p><w:pPr/><w:r><w:rPr/><w:t xml:space="preserve">engaged by allegations of beatings, stripping, harsh treatment, and associated suffering</w:t></w:r></w:p><w:p><w:pPr/><w:r><w:rPr/><w:t xml:space="preserve">while in custody.</w:t></w:r></w:p><w:p><w:pPr><w:numPr><w:ilvl w:val="0"/><w:numId w:val="1"/></w:numPr></w:pPr><w:r><w:rPr/><w:t xml:space="preserve">ECHR Article 3 (procedural limb): a duty to conduct an effective investigation</w:t></w:r></w:p><w:p><w:pPr/><w:r><w:rPr/><w:t xml:space="preserve">into credible allegations of serious ill-treatment. The file shows attempts to trigger</w:t></w:r></w:p><w:p><w:pPr/><w:r><w:rPr/><w:t xml:space="preserve">investigation/prosecution and a later procedural rejection by the Kammergericht.</w:t></w:r></w:p><w:p><w:pPr/><w:r><w:rPr/><w:t xml:space="preserve">UN instruments</w:t></w:r></w:p><w:p><w:pPr><w:numPr><w:ilvl w:val="0"/><w:numId w:val="1"/></w:numPr></w:pPr><w:r><w:rPr/><w:t xml:space="preserve">UN Convention Against Torture (CAT)</w:t></w:r></w:p><w:p><w:pPr><w:numPr><w:ilvl w:val="0"/><w:numId w:val="1"/></w:numPr></w:pPr><w:r><w:rPr/><w:t xml:space="preserve">Art. 2 / 16 (prevention; cruel, inhuman or degrading treatment),</w:t></w:r></w:p><w:p><w:pPr><w:numPr><w:ilvl w:val="0"/><w:numId w:val="1"/></w:numPr></w:pPr><w:r><w:rPr/><w:t xml:space="preserve">Art. 12 (prompt and impartial investigation),</w:t></w:r></w:p><w:p><w:pPr><w:numPr><w:ilvl w:val="0"/><w:numId w:val="1"/></w:numPr></w:pPr><w:r><w:rPr/><w:t xml:space="preserve">Art. 13 (right to complain and have the case examined),</w:t></w:r></w:p><w:p><w:pPr><w:numPr><w:ilvl w:val="0"/><w:numId w:val="1"/></w:numPr></w:pPr><w:r><w:rPr/><w:t xml:space="preserve">Art. 14 (redress).</w:t></w:r></w:p><w:p><w:pPr/><w:r><w:rPr/><w:t xml:space="preserve">The file’s detention ill-treatment allegations + attempts to obtain investigation</w:t></w:r></w:p><w:p><w:pPr/><w:r><w:rPr/><w:t xml:space="preserve">map here.</w:t></w:r></w:p><w:p><w:pPr><w:numPr><w:ilvl w:val="0"/><w:numId w:val="1"/></w:numPr></w:pPr><w:r><w:rPr/><w:t xml:space="preserve">ICCPR Article 7 (no torture/ill-treatment) and Article 10 (humane treatment of</w:t></w:r></w:p><w:p><w:pPr/><w:r><w:rPr/><w:t xml:space="preserve">detainees).</w:t></w:r></w:p><w:p><w:pPr/><w:r><w:rPr/><w:t xml:space="preserve">5.2 Effective remedy / access to justice (your main point about courts not examining)</w:t></w:r></w:p><w:p><w:pPr/><w:r><w:rPr/><w:t xml:space="preserve">European (ECHR / EU Charter)</w:t></w:r></w:p><w:p><w:pPr><w:numPr><w:ilvl w:val="0"/><w:numId w:val="1"/></w:numPr></w:pPr><w:r><w:rPr/><w:t xml:space="preserve">ECHR Article 13 (effective remedy): engaged where a person alleges serious</w:t></w:r></w:p><w:p><w:pPr/><w:r><w:rPr/><w:t xml:space="preserve">ill-treatment and claims the domestic system did not provide an effective path to</w:t></w:r></w:p><w:p><w:pPr/><w:r><w:rPr/><w:t xml:space="preserve">investigation/redress.</w:t></w:r></w:p><w:p><w:pPr><w:numPr><w:ilvl w:val="0"/><w:numId w:val="1"/></w:numPr></w:pPr><w:r><w:rPr/><w:t xml:space="preserve">ECHR Article 6 (access to a court / fair trial): can be relevant in civil</w:t></w:r></w:p><w:p><w:pPr/><w:r><w:rPr/><w:t xml:space="preserve">rights/disability/guardianship type disputes and some criminal-procedure contexts, but</w:t></w:r></w:p><w:p><w:pPr/><w:r><w:rPr/><w:t xml:space="preserve">does not guarantee a right to have someone prosecuted. In your file, at least one remedy</w:t></w:r></w:p><w:p><w:pPr/><w:r><w:rPr/><w:t xml:space="preserve">attempt was rejected on formal grounds (deadline + lawyer signature). Whether that</w:t></w:r></w:p><w:p><w:pPr/><w:r><w:rPr/><w:t xml:space="preserve">becomes an Article 6/13 issue depends on proportionality, legal-aid access,</w:t></w:r></w:p><w:p><w:pPr/><w:r><w:rPr/><w:t xml:space="preserve">disability/health barriers, and overall effectiveness of remedies.</w:t></w:r></w:p><w:p><w:pPr><w:numPr><w:ilvl w:val="0"/><w:numId w:val="1"/></w:numPr></w:pPr><w:r><w:rPr/><w:t xml:space="preserve">EU Charter of Fundamental Rights Article 47 (right to an effective remedy</w:t></w:r></w:p><w:p><w:pPr/><w:r><w:rPr/><w:t xml:space="preserve">and a fair trial): potentially relevant if the underlying matter falls within the scope of</w:t></w:r></w:p><w:p><w:pPr/><w:r><w:rPr/><w:t xml:space="preserve">EU law (e.g., immigration/detention aspects under EU frameworks).</w:t></w:r></w:p><w:p><w:pPr/><w:r><w:rPr/><w:t xml:space="preserve">UN instruments</w:t></w:r></w:p><w:p><w:pPr><w:numPr><w:ilvl w:val="0"/><w:numId w:val="1"/></w:numPr></w:pPr><w:r><w:rPr/><w:t xml:space="preserve">ICCPR Article 2(3) (effective remedy) and Article 14 (fair trial).</w:t></w:r></w:p><w:p><w:pPr><w:numPr><w:ilvl w:val="0"/><w:numId w:val="1"/></w:numPr></w:pPr><w:r><w:rPr/><w:t xml:space="preserve">CRPD Article 13 (Access to justice) may be relevant if disability and lack of</w:t></w:r></w:p><w:p><w:pPr/><w:r><w:rPr/><w:t xml:space="preserve">support/representation affected the ability to comply with procedural requirements (e.g.,</w:t></w:r></w:p><w:p><w:pPr/><w:r><w:rPr/><w:t xml:space="preserve">lawyer signature / deadlines).</w:t></w:r></w:p><w:p><w:pPr/><w:r><w:rPr/><w:t xml:space="preserve">5.3 Health / medical care / medical records</w:t></w:r></w:p><w:p><w:pPr/><w:r><w:rPr/><w:t xml:space="preserve">European (ECHR)</w:t></w:r></w:p><w:p><w:pPr><w:numPr><w:ilvl w:val="0"/><w:numId w:val="1"/></w:numPr></w:pPr><w:r><w:rPr/><w:t xml:space="preserve">ECHR Article 3 (minimum level of severity): inadequate medical care in</w:t></w:r></w:p><w:p><w:pPr/><w:r><w:rPr/><w:t xml:space="preserve">detention or serious neglect may reach Article 3 depending on severity. The file</w:t></w:r></w:p><w:p><w:pPr/><w:r><w:rPr/><w:t xml:space="preserve">contains extensive medical material and allegations of harmful treatment.</w:t></w:r></w:p><w:p><w:pPr><w:numPr><w:ilvl w:val="0"/><w:numId w:val="1"/></w:numPr></w:pPr><w:r><w:rPr/><w:t xml:space="preserve">ECHR Article 8 (private life; physical/psychological integrity; access to</w:t></w:r></w:p><w:p><w:pPr/><w:r><w:rPr/><w:t xml:space="preserve">personal medical information): engaged by repeated attempts to obtain medical records</w:t></w:r></w:p><w:p><w:pPr/><w:r><w:rPr/><w:t xml:space="preserve">and by medical/psychiatric labeling issues.</w:t></w:r></w:p><w:p><w:pPr/><w:r><w:rPr/><w:t xml:space="preserve">UN instruments</w:t></w:r></w:p><w:p><w:pPr><w:numPr><w:ilvl w:val="0"/><w:numId w:val="1"/></w:numPr></w:pPr><w:r><w:rPr/><w:t xml:space="preserve">ICESCR Article 12 (right to the highest attainable standard of health) –</w:t></w:r></w:p><w:p><w:pPr/><w:r><w:rPr/><w:t xml:space="preserve">relevant as a framework when arguing systemic denial of appropriate care.</w:t></w:r></w:p><w:p><w:pPr/><w:r><w:rPr/><w:t xml:space="preserve">5.4 “Schizophrenia” label, and why the fever context matters legally</w:t></w:r></w:p><w:p><w:pPr/><w:r><w:rPr/><w:t xml:space="preserve">From the documents, the psychiatric item is recorded as “suspected” (V.a.) within a context</w:t></w:r></w:p><w:p><w:pPr/><w:r><w:rPr/><w:t xml:space="preserve">of severe physical illness and HIV-related/infectious gastroenterological conditions. This is</w:t></w:r></w:p><w:p><w:pPr/><w:r><w:rPr/><w:t xml:space="preserve">important because:</w:t></w:r></w:p><w:p><w:pPr><w:numPr><w:ilvl w:val="0"/><w:numId w:val="1"/></w:numPr></w:pPr><w:r><w:rPr/><w:t xml:space="preserve">If a psychiatric label influenced legal capacity, guardianship, credibility, or</w:t></w:r></w:p><w:p><w:pPr/><w:r><w:rPr/><w:t xml:space="preserve">access to remedies, it can tie into Article 8 (private life/integrity) and CRPD</w:t></w:r></w:p><w:p><w:pPr/><w:r><w:rPr/><w:t xml:space="preserve">protections;</w:t></w:r></w:p><w:p><w:pPr><w:numPr><w:ilvl w:val="0"/><w:numId w:val="1"/></w:numPr></w:pPr><w:r><w:rPr/><w:t xml:space="preserve">Any complaint that a psychiatric label was misused to block remedies would</w:t></w:r></w:p><w:p><w:pPr/><w:r><w:rPr/><w:t xml:space="preserve">also link back to Article 13 (effective remedy) and CRPD Article 13 (access to justice).</w:t></w:r></w:p><w:p><w:pPr/><w:r><w:rPr/><w:t xml:space="preserve">⸻</w:t></w:r></w:p><w:p><w:pPr><w:numPr><w:ilvl w:val="0"/><w:numId w:val="1"/></w:numPr></w:pPr><w:r><w:rPr/><w:t xml:space="preserve">What the file already proves vs what is still needed</w:t></w:r></w:p><w:p><w:pPr/><w:r><w:rPr/><w:t xml:space="preserve">6.1 Strongly document-supported points</w:t></w:r></w:p><w:p><w:pPr><w:numPr><w:ilvl w:val="0"/><w:numId w:val="1"/></w:numPr></w:pPr><w:r><w:rPr/><w:t xml:space="preserve">You contacted Amnesty International (direct letter in the file; also mentioned</w:t></w:r></w:p><w:p><w:pPr/><w:r><w:rPr/><w:t xml:space="preserve">in clinical notes).</w:t></w:r></w:p><w:p><w:pPr><w:numPr><w:ilvl w:val="0"/><w:numId w:val="1"/></w:numPr></w:pPr><w:r><w:rPr/><w:t xml:space="preserve">You pursued multiple domestic routes, including petitions/complaints and</w:t></w:r></w:p><w:p><w:pPr/><w:r><w:rPr/><w:t xml:space="preserve">court steps (Bundestag petition, Landgericht/Kammergericht, Bundesgerichtshof</w:t></w:r></w:p><w:p><w:pPr/><w:r><w:rPr/><w:t xml:space="preserve">correspondence).</w:t></w:r></w:p><w:p><w:pPr><w:numPr><w:ilvl w:val="0"/><w:numId w:val="1"/></w:numPr></w:pPr><w:r><w:rPr/><w:t xml:space="preserve">A Kammergericht decision states why one judicial review attempt was not</w:t></w:r></w:p><w:p><w:pPr/><w:r><w:rPr/><w:t xml:space="preserve">examined on merits (deadline + missing lawyer signature).</w:t></w:r></w:p><w:p><w:pPr><w:numPr><w:ilvl w:val="0"/><w:numId w:val="1"/></w:numPr></w:pPr><w:r><w:rPr/><w:t xml:space="preserve">The 2011 hospital letter explicitly records fever and serious physical</w:t></w:r></w:p><w:p><w:pPr/><w:r><w:rPr/><w:t xml:space="preserve">symptoms as the admission reason while listing suspected paranoid schizophrenia in the</w:t></w:r></w:p><w:p><w:pPr/><w:r><w:rPr/><w:t xml:space="preserve">diagnosis list.</w:t></w:r></w:p><w:p><w:pPr/><w:r><w:rPr/><w:t xml:space="preserve">6.2 Evidence still helpful for a stronger “violation” conclusion</w:t></w:r></w:p><w:p><w:pPr/><w:r><w:rPr/><w:t xml:space="preserve">To argue a definitive violation (especially under ECHR Art. 3/13 or CAT 12/13), typically</w:t></w:r></w:p><w:p><w:pPr/><w:r><w:rPr/><w:t xml:space="preserve">needed:</w:t></w:r></w:p><w:p><w:pPr><w:numPr><w:ilvl w:val="0"/><w:numId w:val="1"/></w:numPr></w:pPr><w:r><w:rPr/><w:t xml:space="preserve">complete prosecutorial decisions (including the referenced decision of</w:t></w:r></w:p><w:p><w:pPr/><w:r><w:rPr/><w:t xml:space="preserve">16.10.2007) and the full investigation file context;</w:t></w:r></w:p><w:p><w:pPr><w:numPr><w:ilvl w:val="0"/><w:numId w:val="1"/></w:numPr></w:pPr><w:r><w:rPr/><w:t xml:space="preserve">final outcomes of ECtHR proceedings (admissibility/decision) and any UN</w:t></w:r></w:p><w:p><w:pPr/><w:r><w:rPr/><w:t xml:space="preserve">communications (if any formal case number exists);</w:t></w:r></w:p><w:p><w:pPr><w:numPr><w:ilvl w:val="0"/><w:numId w:val="1"/></w:numPr></w:pPr><w:r><w:rPr/><w:t xml:space="preserve">evidence of legal-aid requests/denials and disability-support requests (to assess</w:t></w:r></w:p><w:p><w:pPr/><w:r><w:rPr/><w:t xml:space="preserve">whether procedural requirements were realistically accessible);</w:t></w:r></w:p><w:p><w:pPr><w:numPr><w:ilvl w:val="0"/><w:numId w:val="1"/></w:numPr></w:pPr><w:r><w:rPr/><w:t xml:space="preserve">full medical records for the key detention dates and any forensic</w:t></w:r></w:p><w:p><w:pPr/><w:r><w:rPr/><w:t xml:space="preserve">documentation of injuries.</w:t></w:r></w:p><w:p><w:pPr/><w:r><w:rPr/><w:t xml:space="preserve">⸻</w:t></w:r></w:p><w:p><w:pPr><w:numPr><w:ilvl w:val="0"/><w:numId w:val="1"/></w:numPr></w:pPr><w:r><w:rPr/><w:t xml:space="preserve">Practical “how to use” this report (submission-ready framing)</w:t></w:r></w:p><w:p><w:pPr/><w:r><w:rPr/><w:t xml:space="preserve">If you will submit to an institution, the clearest structure is:</w:t></w:r></w:p><w:p><w:pPr><w:numPr><w:ilvl w:val="0"/><w:numId w:val="1"/></w:numPr></w:pPr><w:r><w:rPr/><w:t xml:space="preserve">Facts & dates (detention event; medical consequences; record requests),</w:t></w:r></w:p><w:p><w:pPr><w:numPr><w:ilvl w:val="0"/><w:numId w:val="1"/></w:numPr></w:pPr><w:r><w:rPr/><w:t xml:space="preserve">Remedy steps (what you filed, where, and what the response was),</w:t></w:r></w:p><w:p><w:pPr><w:numPr><w:ilvl w:val="0"/><w:numId w:val="1"/></w:numPr></w:pPr><w:r><w:rPr/><w:t xml:space="preserve">Documented procedural barrier (Kammergericht inadmissibility reasons),</w:t></w:r></w:p><w:p><w:pPr><w:numPr><w:ilvl w:val="0"/><w:numId w:val="1"/></w:numPr></w:pPr><w:r><w:rPr/><w:t xml:space="preserve">Treaty mapping (ECHR Art. 3 + procedural duty; Art. 13; CAT 12/13; ICCPR</w:t></w:r></w:p><w:p><w:pPr/><w:r><w:rPr/><w:t xml:space="preserve">2(3)/7/10; CRPD 13),</w:t></w:r></w:p><w:p><w:pPr><w:numPr><w:ilvl w:val="0"/><w:numId w:val="1"/></w:numPr></w:pPr><w:r><w:rPr/><w:t xml:space="preserve">Requested relief (investigation, records, rehabilitation/compensation,</w:t></w:r></w:p><w:p><w:pPr/><w:r><w:rPr/><w:t xml:space="preserve">safeguards).</w:t></w:r></w:p><w:p><w:pPr/><w:r><w:rPr/><w:t xml:space="preserve">Everything above is already aligned to that structure.</w:t></w:r></w:p><w:p><w:pPr/><w:r><w:rPr/><w:t xml:space="preserve">1)ChatGBT reporte PDF 02.11.1999</w:t></w:r></w:p><w:p><w:pPr/><w:r><w:rPr/><w:t xml:space="preserve">ChatGPT Report (English)</w:t></w:r></w:p><w:p><w:pPr/><w:r><w:rPr/><w:t xml:space="preserve">Subject: Review of possible European (ECHR/EU) and UN human-rights violations, plus</w:t></w:r></w:p><w:p><w:pPr/><w:r><w:rPr/><w:t xml:space="preserve">dates & documented illnesses (based only on the provided files)</w:t></w:r></w:p><w:p><w:pPr/><w:r><w:rPr/><w:t xml:space="preserve">Sources reviewed:</w:t></w:r></w:p><w:p><w:pPr><w:numPr><w:ilvl w:val="0"/><w:numId w:val="1"/></w:numPr></w:pPr><w:r><w:rPr/><w:t xml:space="preserve">Scanned medical/legal file “Oca 21, Belge 734.pdf”</w:t></w:r></w:p><w:p><w:pPr><w:numPr><w:ilvl w:val="0"/><w:numId w:val="1"/></w:numPr></w:pPr><w:r><w:rPr/><w:t xml:space="preserve">Scanned medical/legal file “Oca 21, Belge 752.pdf”</w:t></w:r></w:p><w:p><w:pPr/><w:r><w:rPr/><w:t xml:space="preserve">Important note: This is not a court finding and not legal advice. It is a structured mapping:</w:t></w:r></w:p><w:p><w:pPr/><w:r><w:rPr/><w:t xml:space="preserve">what is alleged/documented in the files → which international/European rights instruments</w:t></w:r></w:p><w:p><w:pPr/><w:r><w:rPr/><w:t xml:space="preserve">are typically relevant.</w:t></w:r></w:p><w:p><w:pPr><w:numPr><w:ilvl w:val="0"/><w:numId w:val="1"/></w:numPr></w:pPr><w:r><w:rPr/><w:t xml:space="preserve">Key incident(s) and dates (from the documents)</w:t></w:r></w:p><w:p><w:pPr/><w:r><w:rPr/><w:t xml:space="preserve">A) Alleged ill-treatment and medical emergency in detention</w:t></w:r></w:p><w:p><w:pPr/><w:r><w:rPr/><w:t xml:space="preserve">02.11.1999 – Abschiebungsgewahrsam Köpenick (Berlin)</w:t></w:r></w:p><w:p><w:pPr/><w:r><w:rPr/><w:t xml:space="preserve">A written complaint describes an acute medical episode (severe breathing difficulty,</w:t></w:r></w:p><w:p><w:pPr/><w:r><w:rPr/><w:t xml:space="preserve">vomiting, cramps, bluish fingernails, inability to move), followed by alleged degrading and</w:t></w:r></w:p><w:p><w:pPr/><w:r><w:rPr/><w:t xml:space="preserve">violent treatment by police/guards, including:</w:t></w:r></w:p><w:p><w:pPr><w:numPr><w:ilvl w:val="0"/><w:numId w:val="1"/></w:numPr></w:pPr><w:r><w:rPr/><w:t xml:space="preserve">being locked alone despite fear of another attack;</w:t></w:r></w:p><w:p><w:pPr><w:numPr><w:ilvl w:val="0"/><w:numId w:val="1"/></w:numPr></w:pPr><w:r><w:rPr/><w:t xml:space="preserve">lack of response when knocking for help;</w:t></w:r></w:p><w:p><w:pPr><w:numPr><w:ilvl w:val="0"/><w:numId w:val="1"/></w:numPr></w:pPr><w:r><w:rPr/><w:t xml:space="preserve">self-injury to attract attention;</w:t></w:r></w:p><w:p><w:pPr><w:numPr><w:ilvl w:val="0"/><w:numId w:val="1"/></w:numPr></w:pPr><w:r><w:rPr/><w:t xml:space="preserve">a degrading gesture interpreted as “lick the vomit”;</w:t></w:r></w:p><w:p><w:pPr><w:numPr><w:ilvl w:val="0"/><w:numId w:val="1"/></w:numPr></w:pPr><w:r><w:rPr/><w:t xml:space="preserve">being dragged by hair into solitary, stripped naked, threatened;</w:t></w:r></w:p><w:p><w:pPr><w:numPr><w:ilvl w:val="0"/><w:numId w:val="1"/></w:numPr></w:pPr><w:r><w:rPr/><w:t xml:space="preserve">approximately 14 days in solitary confinement;</w:t></w:r></w:p><w:p><w:pPr><w:numPr><w:ilvl w:val="0"/><w:numId w:val="1"/></w:numPr></w:pPr><w:r><w:rPr/><w:t xml:space="preserve">medical examinations where the person says he was not informed of</w:t></w:r></w:p><w:p><w:pPr/><w:r><w:rPr/><w:t xml:space="preserve">diagnosis/results and no interpreter was present; he says communication was almost</w:t></w:r></w:p><w:p><w:pPr/><w:r><w:rPr/><w:t xml:space="preserve">impossible.</w:t></w:r></w:p><w:p><w:pPr/><w:r><w:rPr/><w:t xml:space="preserve">B) Detention / migration history (medical statement)</w:t></w:r></w:p><w:p><w:pPr/><w:r><w:rPr/><w:t xml:space="preserve">22.05.2002 – Medical statement (Berlin)</w:t></w:r></w:p><w:p><w:pPr/><w:r><w:rPr/><w:t xml:space="preserve">A medical statement connected to the Behandlungszentrum für Folteropfer Berlin describes:</w:t></w:r></w:p><w:p><w:pPr/><w:r><w:rPr/><w:t xml:space="preserve">entry in Aug 1998; arrest and transfer to Köpenick; ~3–3.5 months in deportation custody;</w:t></w:r></w:p><w:p><w:pPr/><w:r><w:rPr/><w:t xml:space="preserve">complaints of blood in stool and severe psychological distress; medication given without</w:t></w:r></w:p><w:p><w:pPr/><w:r><w:rPr/><w:t xml:space="preserve">knowing names; later another ~3.5 months detention; participation in hunger strike;</w:t></w:r></w:p><w:p><w:pPr/><w:r><w:rPr/><w:t xml:space="preserve">“Duldung” dated 29.06.2001, extended to 24.07.2002; at that time no asylum application</w:t></w:r></w:p><w:p><w:pPr/><w:r><w:rPr/><w:t xml:space="preserve">filed.</w:t></w:r></w:p><w:p><w:pPr/><w:r><w:rPr/><w:t xml:space="preserve">C) Access to medical records / information</w:t></w:r></w:p><w:p><w:pPr/><w:r><w:rPr/><w:t xml:space="preserve">06.04.2005 – requests for medical file copies/results</w:t></w:r></w:p><w:p><w:pPr/><w:r><w:rPr/><w:t xml:space="preserve">Letters show repeated attempts to obtain copies of detention/hospital medical files</w:t></w:r></w:p><w:p><w:pPr/><w:r><w:rPr/><w:t xml:space="preserve">(1998–1999) and to learn which injections/medications were administered and why.</w:t></w:r></w:p><w:p><w:pPr/><w:r><w:rPr/><w:t xml:space="preserve">04.05.2005 – hospital reply</w:t></w:r></w:p><w:p><w:pPr/><w:r><w:rPr/><w:t xml:space="preserve">A hospital reply states they could not find him in emergency/inpatient records and asks for</w:t></w:r></w:p><w:p><w:pPr/><w:r><w:rPr/><w:t xml:space="preserve">more details.</w:t></w:r></w:p><w:p><w:pPr/><w:r><w:rPr/><w:t xml:space="preserve">15.04.2005 (document date appears) – police/authority reply about medical documents</w:t></w:r></w:p><w:p><w:pPr/><w:r><w:rPr/><w:t xml:space="preserve">A letter states no documents will be sent by post; the person may inspect medical documents</w:t></w:r></w:p><w:p><w:pPr/><w:r><w:rPr/><w:t xml:space="preserve">in person by appointment.</w:t></w:r></w:p><w:p><w:pPr/><w:r><w:rPr/><w:t xml:space="preserve">22.06.2005 – follow-up complaint</w:t></w:r></w:p><w:p><w:pPr/><w:r><w:rPr/><w:t xml:space="preserve">A follow-up letter complains about not receiving his own documents and again requests</w:t></w:r></w:p><w:p><w:pPr/><w:r><w:rPr/><w:t xml:space="preserve">medical records and details of injections/medications.</w:t></w:r></w:p><w:p><w:pPr><w:numPr><w:ilvl w:val="0"/><w:numId w:val="1"/></w:numPr></w:pPr><w:r><w:rPr/><w:t xml:space="preserve">Dates and documented illnesses (medical timeline)</w:t></w:r></w:p><w:p><w:pPr/><w:r><w:rPr/><w:t xml:space="preserve">Below are examples of clear, dated diagnoses visible in the files (non-exhaustive):</w:t></w:r></w:p><w:p><w:pPr/><w:r><w:rPr/><w:t xml:space="preserve">1998–1999 (early detention/prison medical records)</w:t></w:r></w:p><w:p><w:pPr><w:numPr><w:ilvl w:val="0"/><w:numId w:val="1"/></w:numPr></w:pPr><w:r><w:rPr/><w:t xml:space="preserve">16.09.1998: Erosive proctitis (rectal inflammation); treatment recommended.</w:t></w:r></w:p><w:p><w:pPr><w:numPr><w:ilvl w:val="0"/><w:numId w:val="1"/></w:numPr></w:pPr><w:r><w:rPr/><w:t xml:space="preserve">03.11.1998: EEG performed for therapy-resistant right-sided headaches</w:t></w:r></w:p><w:p><w:pPr/><w:r><w:rPr/><w:t xml:space="preserve">(cephalalgia); EEG described as without clear pathological findings.</w:t></w:r></w:p><w:p><w:pPr><w:numPr><w:ilvl w:val="0"/><w:numId w:val="1"/></w:numPr></w:pPr><w:r><w:rPr/><w:t xml:space="preserve">24.11.1999: Prison hospital form: kidney/bladder sonography “unremarkable”;</w:t></w:r></w:p><w:p><w:pPr/><w:r><w:rPr/><w:t xml:space="preserve">rectoscopy “unremarkable.”</w:t></w:r></w:p><w:p><w:pPr/><w:r><w:rPr/><w:t xml:space="preserve">2001–2003 (chronic multi-system illness documented)</w:t></w:r></w:p><w:p><w:pPr><w:numPr><w:ilvl w:val="0"/><w:numId w:val="1"/></w:numPr></w:pPr><w:r><w:rPr/><w:t xml:space="preserve">06.01.2001: Medical attestation: chronic gastritis, bronchial asthma,</w:t></w:r></w:p><w:p><w:pPr/><w:r><w:rPr/><w:t xml:space="preserve">constipation due to GI dysfunction, hemorrhoids, depression; requires ongoing medical</w:t></w:r></w:p><w:p><w:pPr/><w:r><w:rPr/><w:t xml:space="preserve">supervision.</w:t></w:r></w:p><w:p><w:pPr><w:numPr><w:ilvl w:val="0"/><w:numId w:val="1"/></w:numPr></w:pPr><w:r><w:rPr/><w:t xml:space="preserve">11.01.2001: Attestation: acute influenza-like infection, acute</w:t></w:r></w:p><w:p><w:pPr/><w:r><w:rPr/><w:t xml:space="preserve">bronchopneumonia, acute depressive syndrome; in treatment since 02.01.2001.</w:t></w:r></w:p><w:p><w:pPr><w:numPr><w:ilvl w:val="0"/><w:numId w:val="1"/></w:numPr></w:pPr><w:r><w:rPr/><w:t xml:space="preserve">27.03.2001: Attestation: chronic asthmatic bronchitis, hiatal hernia with reflux</w:t></w:r></w:p><w:p><w:pPr/><w:r><w:rPr/><w:t xml:space="preserve">disease, erosive gastritis, hemorrhoidal disease; reduced performance despite treatment.</w:t></w:r></w:p><w:p><w:pPr><w:numPr><w:ilvl w:val="0"/><w:numId w:val="1"/></w:numPr></w:pPr><w:r><w:rPr/><w:t xml:space="preserve">28.03.2001: Attestation lists ulcus ventriculi (gastric ulcer) and Hepatitis A</w:t></w:r></w:p><w:p><w:pPr/><w:r><w:rPr/><w:t xml:space="preserve">infection, plus anxiety/depressive symptoms.</w:t></w:r></w:p><w:p><w:pPr><w:numPr><w:ilvl w:val="0"/><w:numId w:val="1"/></w:numPr></w:pPr><w:r><w:rPr/><w:t xml:space="preserve">31.05.2002: Endoscopy: reflux esophagitis (grade II), axial hiatal hernia,</w:t></w:r></w:p><w:p><w:pPr/><w:r><w:rPr/><w:t xml:space="preserve">erosive pangastritis; proton-pump inhibitor therapy recommended.</w:t></w:r></w:p><w:p><w:pPr><w:numPr><w:ilvl w:val="0"/><w:numId w:val="1"/></w:numPr></w:pPr><w:r><w:rPr/><w:t xml:space="preserve">16.09.2002: Attestation references chronic recurrent prostatitis (stated duration</w:t></w:r></w:p><w:p><w:pPr/><w:r><w:rPr/><w:t xml:space="preserve">~3 years).</w:t></w:r></w:p><w:p><w:pPr><w:numPr><w:ilvl w:val="0"/><w:numId w:val="1"/></w:numPr></w:pPr><w:r><w:rPr/><w:t xml:space="preserve">11.09.2003: Attestation references heart inflammation/myocarditis-related</w:t></w:r></w:p><w:p><w:pPr/><w:r><w:rPr/><w:t xml:space="preserve">findings (wording indicates cardiac involvement).</w:t></w:r></w:p><w:p><w:pPr/><w:r><w:rPr/><w:t xml:space="preserve">2006–2012 (HIV and advanced medical/psychiatric diagnoses appear clearly)</w:t></w:r></w:p><w:p><w:pPr><w:numPr><w:ilvl w:val="0"/><w:numId w:val="1"/></w:numPr></w:pPr><w:r><w:rPr/><w:t xml:space="preserve">22.06.2006: English medical certificate lists: depression (F32.2), chronic</w:t></w:r></w:p><w:p><w:pPr/><w:r><w:rPr/><w:t xml:space="preserve">prostatitis, chronic gastritis, chronic HIV infection, vitamin B12 deficiency/anemia,</w:t></w:r></w:p><w:p><w:pPr/><w:r><w:rPr/><w:t xml:space="preserve">myocarditis, and history of syphilis (Lues II).</w:t></w:r></w:p><w:p><w:pPr><w:numPr><w:ilvl w:val="0"/><w:numId w:val="1"/></w:numPr></w:pPr><w:r><w:rPr/><w:t xml:space="preserve">2007–2008: Hospital documents refer to known HIV infection (including</w:t></w:r></w:p><w:p><w:pPr/><w:r><w:rPr/><w:t xml:space="preserve">earlier periods without antiretroviral therapy) and other chronic diagnoses.</w:t></w:r></w:p><w:p><w:pPr><w:numPr><w:ilvl w:val="0"/><w:numId w:val="1"/></w:numPr></w:pPr><w:r><w:rPr/><w:t xml:space="preserve">04.07.2011: Hospital letter lists: ulcerative esophagitis (grade III), paranoid</w:t></w:r></w:p><w:p><w:pPr/><w:r><w:rPr/><w:t xml:space="preserve">schizophrenia, HIV CDC C3, with extensive testing.</w:t></w:r></w:p><w:p><w:pPr><w:numPr><w:ilvl w:val="0"/><w:numId w:val="1"/></w:numPr></w:pPr><w:r><w:rPr/><w:t xml:space="preserve">13.09.2012: Medical attestation lists multiple chronic conditions including</w:t></w:r></w:p><w:p><w:pPr/><w:r><w:rPr/><w:t xml:space="preserve">depression, chronic HIV, reflux esophagitis, B12 deficiency/anemia, and psychosis,</w:t></w:r></w:p><w:p><w:pPr/><w:r><w:rPr/><w:t xml:space="preserve">among others.</w:t></w:r></w:p><w:p><w:pPr><w:numPr><w:ilvl w:val="0"/><w:numId w:val="1"/></w:numPr></w:pPr><w:r><w:rPr/><w:t xml:space="preserve">Which European (ECHR/EU) and UN conventions may be violated</w:t></w:r></w:p><w:p><w:pPr/><w:r><w:rPr/><w:t xml:space="preserve">Again: “may be violated” = the allegations/evidence in the file match the type of conduct</w:t></w:r></w:p><w:p><w:pPr/><w:r><w:rPr/><w:t xml:space="preserve">these instruments prohibit. A violation requires legal determination.</w:t></w:r></w:p><w:p><w:pPr/><w:r><w:rPr/><w:t xml:space="preserve">A) European Convention on Human Rights (ECHR) – Council of Europe</w:t></w:r></w:p><w:p><w:pPr/><w:r><w:rPr/><w:t xml:space="preserve">Likely relevant articles based on the 02.11.1999 detention complaint and follow-up</w:t></w:r></w:p><w:p><w:pPr/><w:r><w:rPr/><w:t xml:space="preserve">documents:</w:t></w:r></w:p><w:p><w:pPr><w:numPr><w:ilvl w:val="0"/><w:numId w:val="1"/></w:numPr></w:pPr><w:r><w:rPr/><w:t xml:space="preserve">ECHR Article 3 – Prohibition of torture / inhuman or degrading treatment</w:t></w:r></w:p><w:p><w:pPr/><w:r><w:rPr/><w:t xml:space="preserve">The allegations of humiliation (vomit-lick gesture), forced nudity, hair-pulling,</w:t></w:r></w:p><w:p><w:pPr/><w:r><w:rPr/><w:t xml:space="preserve">threats/violence, and prolonged solitary confinement following a medical emergency</w:t></w:r></w:p><w:p><w:pPr/><w:r><w:rPr/><w:t xml:space="preserve">are the kinds of facts that can fall under Article 3 when they occur in custody.</w:t></w:r></w:p><w:p><w:pPr><w:numPr><w:ilvl w:val="0"/><w:numId w:val="1"/></w:numPr></w:pPr><w:r><w:rPr/><w:t xml:space="preserve">ECHR Article 3 (procedural duty) – duty to investigate credible ill-treatment</w:t></w:r></w:p><w:p><w:pPr/><w:r><w:rPr/><w:t xml:space="preserve">allegations</w:t></w:r></w:p><w:p><w:pPr/><w:r><w:rPr/><w:t xml:space="preserve">The documents show the person filed a complaint and asked authorities to investigate</w:t></w:r></w:p><w:p><w:pPr/><w:r><w:rPr/><w:t xml:space="preserve">and hold responsible persons accountable. If authorities failed to conduct a prompt,</w:t></w:r></w:p><w:p><w:pPr/><w:r><w:rPr/><w:t xml:space="preserve">independent and effective investigation, that can engage the procedural aspect of Article</w:t></w:r></w:p><w:p><w:pPr/><w:r><w:rPr/><w:t xml:space="preserve">3.</w:t></w:r></w:p><w:p><w:pPr><w:numPr><w:ilvl w:val="0"/><w:numId w:val="1"/></w:numPr></w:pPr><w:r><w:rPr/><w:t xml:space="preserve">ECHR Article 2 – Right to life (positive obligation to protect life in custody)</w:t></w:r></w:p><w:p><w:pPr/><w:r><w:rPr/><w:t xml:space="preserve">If a detainee has a potentially life-threatening medical crisis (severe breathing</w:t></w:r></w:p><w:p><w:pPr/><w:r><w:rPr/><w:t xml:space="preserve">problems/collapse) and help is delayed/withheld, Article 2 can be implicated in serious</w:t></w:r></w:p><w:p><w:pPr/><w:r><w:rPr/><w:t xml:space="preserve">cases. The complaint describes such a crisis and fear of being left alone without help.</w:t></w:r></w:p><w:p><w:pPr><w:numPr><w:ilvl w:val="0"/><w:numId w:val="1"/></w:numPr></w:pPr><w:r><w:rPr/><w:t xml:space="preserve">ECHR Article 8 – Private life (bodily integrity + medical information/records)</w:t></w:r></w:p><w:p><w:pPr/><w:r><w:rPr/><w:t xml:space="preserve">The files show repeated claims of (a) not being informed of diagnoses/results, (b) lack</w:t></w:r></w:p><w:p><w:pPr/><w:r><w:rPr/><w:t xml:space="preserve">of interpreter during medical interactions, and (c) difficulty accessing personal medical</w:t></w:r></w:p><w:p><w:pPr/><w:r><w:rPr/><w:t xml:space="preserve">records and information about injections/medications. These issues can fall within</w:t></w:r></w:p><w:p><w:pPr/><w:r><w:rPr/><w:t xml:space="preserve">Article 8’s protection of physical integrity and personal data/medical privacy.</w:t></w:r></w:p><w:p><w:pPr><w:numPr><w:ilvl w:val="0"/><w:numId w:val="1"/></w:numPr></w:pPr><w:r><w:rPr/><w:t xml:space="preserve">ECHR Article 13 – Effective remedy</w:t></w:r></w:p><w:p><w:pPr/><w:r><w:rPr/><w:t xml:space="preserve">If there was no practical and effective remedy to complain about ill-treatment or denial</w:t></w:r></w:p><w:p><w:pPr/><w:r><w:rPr/><w:t xml:space="preserve">of medical information/records, Article 13 may be relevant. The correspondence shows</w:t></w:r></w:p><w:p><w:pPr/><w:r><w:rPr/><w:t xml:space="preserve">repeated attempts to obtain records and pursue a complaint.</w:t></w:r></w:p><w:p><w:pPr/><w:r><w:rPr/><w:t xml:space="preserve">B) EU fundamental rights (EU Charter) – conditional applicability</w:t></w:r></w:p><w:p><w:pPr/><w:r><w:rPr/><w:t xml:space="preserve">Note: The EU Charter binds Member States only when implementing EU law. Because key</w:t></w:r></w:p><w:p><w:pPr/><w:r><w:rPr/><w:t xml:space="preserve">events include 1998–1999, EU-law applicability is fact-specific. Still, if EU migration/return</w:t></w:r></w:p><w:p><w:pPr/><w:r><w:rPr/><w:t xml:space="preserve">rules were involved, the same core rights are mirrored:</w:t></w:r></w:p><w:p><w:pPr><w:numPr><w:ilvl w:val="0"/><w:numId w:val="1"/></w:numPr></w:pPr><w:r><w:rPr/><w:t xml:space="preserve">EU Charter Article 1 (Human dignity) and Article 4 (Prohibition of torture and</w:t></w:r></w:p><w:p><w:pPr/><w:r><w:rPr/><w:t xml:space="preserve">inhuman or degrading treatment) – relevant to the alleged degrading/violent treatment</w:t></w:r></w:p><w:p><w:pPr/><w:r><w:rPr/><w:t xml:space="preserve">in custody.</w:t></w:r></w:p><w:p><w:pPr><w:numPr><w:ilvl w:val="0"/><w:numId w:val="1"/></w:numPr></w:pPr><w:r><w:rPr/><w:t xml:space="preserve">EU Charter Article 3 (Right to integrity of the person) – relevant to alleged</w:t></w:r></w:p><w:p><w:pPr/><w:r><w:rPr/><w:t xml:space="preserve">injections/medications without clear explanation/consent and forced undressing.</w:t></w:r></w:p><w:p><w:pPr><w:numPr><w:ilvl w:val="0"/><w:numId w:val="1"/></w:numPr></w:pPr><w:r><w:rPr/><w:t xml:space="preserve">EU Charter Article 35 (Health care) – relevant to access to necessary medical</w:t></w:r></w:p><w:p><w:pPr/><w:r><w:rPr/><w:t xml:space="preserve">care in detention.</w:t></w:r></w:p><w:p><w:pPr><w:numPr><w:ilvl w:val="0"/><w:numId w:val="1"/></w:numPr></w:pPr><w:r><w:rPr/><w:t xml:space="preserve">EU Charter Article 41 (Good administration) and Article 47 (Effective</w:t></w:r></w:p><w:p><w:pPr/><w:r><w:rPr/><w:t xml:space="preserve">remedy) – relevant to access to one’s file/records and effective complaint handling.</w:t></w:r></w:p><w:p><w:pPr/><w:r><w:rPr/><w:t xml:space="preserve">C) UN Convention against Torture (CAT)</w:t></w:r></w:p><w:p><w:pPr/><w:r><w:rPr/><w:t xml:space="preserve">Based on alleged custody abuse and the need for investigation/remedy:</w:t></w:r></w:p><w:p><w:pPr><w:numPr><w:ilvl w:val="0"/><w:numId w:val="1"/></w:numPr></w:pPr><w:r><w:rPr/><w:t xml:space="preserve">CAT Article 16 – obligation to prevent cruel, inhuman, or degrading treatment</w:t></w:r></w:p><w:p><w:pPr/><w:r><w:rPr/><w:t xml:space="preserve">(CIDT). The alleged humiliation/threats/violence in detention matches the category of</w:t></w:r></w:p><w:p><w:pPr/><w:r><w:rPr/><w:t xml:space="preserve">conduct covered by Article 16.</w:t></w:r></w:p><w:p><w:pPr><w:numPr><w:ilvl w:val="0"/><w:numId w:val="1"/></w:numPr></w:pPr><w:r><w:rPr/><w:t xml:space="preserve">CAT Articles 12–13 – duty to investigate and ensure the right to complain</w:t></w:r></w:p><w:p><w:pPr/><w:r><w:rPr/><w:t xml:space="preserve">about torture/CIDT. The documents show a written complaint and requests for</w:t></w:r></w:p><w:p><w:pPr/><w:r><w:rPr/><w:t xml:space="preserve">investigation.</w:t></w:r></w:p><w:p><w:pPr><w:numPr><w:ilvl w:val="0"/><w:numId w:val="1"/></w:numPr></w:pPr><w:r><w:rPr/><w:t xml:space="preserve">CAT Article 14 – right to redress/rehabilitation if torture/CIDT is established.</w:t></w:r></w:p><w:p><w:pPr/><w:r><w:rPr/><w:t xml:space="preserve">References to torture-victim support services may be relevant to rehabilitation needs.</w:t></w:r></w:p><w:p><w:pPr/><w:r><w:rPr/><w:t xml:space="preserve">D) International Covenant on Civil and Political Rights (ICCPR)</w:t></w:r></w:p><w:p><w:pPr><w:numPr><w:ilvl w:val="0"/><w:numId w:val="1"/></w:numPr></w:pPr><w:r><w:rPr/><w:t xml:space="preserve">ICCPR Article 7 – prohibition of torture/CIDT.</w:t></w:r></w:p><w:p><w:pPr><w:numPr><w:ilvl w:val="0"/><w:numId w:val="1"/></w:numPr></w:pPr><w:r><w:rPr/><w:t xml:space="preserve">ICCPR Article 10(1) – detainees must be treated with humanity and respect</w:t></w:r></w:p><w:p><w:pPr/><w:r><w:rPr/><w:t xml:space="preserve">for dignity.</w:t></w:r></w:p><w:p><w:pPr><w:numPr><w:ilvl w:val="0"/><w:numId w:val="1"/></w:numPr></w:pPr><w:r><w:rPr/><w:t xml:space="preserve">ICCPR Article 2(3) – right to an effective remedy (relevant if</w:t></w:r></w:p><w:p><w:pPr/><w:r><w:rPr/><w:t xml:space="preserve">complaints/requests were not effectively handled).</w:t></w:r></w:p><w:p><w:pPr><w:numPr><w:ilvl w:val="0"/><w:numId w:val="1"/></w:numPr></w:pPr><w:r><w:rPr/><w:t xml:space="preserve">ICCPR Article 17 – privacy (can relate to control over personal medical data</w:t></w:r></w:p><w:p><w:pPr/><w:r><w:rPr/><w:t xml:space="preserve">and access to one’s records).</w:t></w:r></w:p><w:p><w:pPr/><w:r><w:rPr/><w:t xml:space="preserve">E) International Covenant on Economic, Social and Cultural Rights (ICESCR)</w:t></w:r></w:p><w:p><w:pPr><w:numPr><w:ilvl w:val="0"/><w:numId w:val="1"/></w:numPr></w:pPr><w:r><w:rPr/><w:t xml:space="preserve">ICESCR Article 12 – Right to health</w:t></w:r></w:p><w:p><w:pPr/><w:r><w:rPr/><w:t xml:space="preserve">Detention authorities must ensure timely, appropriate health care without</w:t></w:r></w:p><w:p><w:pPr/><w:r><w:rPr/><w:t xml:space="preserve">discrimination. The files include extensive chronic illness and requests for medical</w:t></w:r></w:p><w:p><w:pPr/><w:r><w:rPr/><w:t xml:space="preserve">information/care.</w:t></w:r></w:p><w:p><w:pPr/><w:r><w:rPr/><w:t xml:space="preserve">F) Non-refoulement conventions (only if deportation risk is proven)</w:t></w:r></w:p><w:p><w:pPr/><w:r><w:rPr/><w:t xml:space="preserve">If deportation/removal would expose the person to torture/persecution or real risk of serious</w:t></w:r></w:p><w:p><w:pPr/><w:r><w:rPr/><w:t xml:space="preserve">harm:</w:t></w:r></w:p><w:p><w:pPr><w:numPr><w:ilvl w:val="0"/><w:numId w:val="1"/></w:numPr></w:pPr><w:r><w:rPr/><w:t xml:space="preserve">Refugee Convention (1951) Article 33 (non-refoulement) and CAT Article 3</w:t></w:r></w:p><w:p><w:pPr/><w:r><w:rPr/><w:t xml:space="preserve">(non-refoulement to torture) could become relevant. The provided files mention</w:t></w:r></w:p><w:p><w:pPr/><w:r><w:rPr/><w:t xml:space="preserve">deportation custody and severe health issues, but they do not contain a full country-risk</w:t></w:r></w:p><w:p><w:pPr/><w:r><w:rPr/><w:t xml:space="preserve">assessment in themselves.</w:t></w:r></w:p><w:p><w:pPr><w:numPr><w:ilvl w:val="0"/><w:numId w:val="1"/></w:numPr></w:pPr><w:r><w:rPr/><w:t xml:space="preserve">What evidence is still missing for a “strong” legal conclusion</w:t></w:r></w:p><w:p><w:pPr/><w:r><w:rPr/><w:t xml:space="preserve">To argue a violation conclusively (especially under ECHR Art. 3 / CAT), usually needed are:</w:t></w:r></w:p><w:p><w:pPr><w:numPr><w:ilvl w:val="0"/><w:numId w:val="1"/></w:numPr></w:pPr><w:r><w:rPr/><w:t xml:space="preserve">official incident logs and medical notes for 02.11.1999;</w:t></w:r></w:p><w:p><w:pPr><w:numPr><w:ilvl w:val="0"/><w:numId w:val="1"/></w:numPr></w:pPr><w:r><w:rPr/><w:t xml:space="preserve">witness statements from the mentioned detainees;</w:t></w:r></w:p><w:p><w:pPr><w:numPr><w:ilvl w:val="0"/><w:numId w:val="1"/></w:numPr></w:pPr><w:r><w:rPr/><w:t xml:space="preserve">records of any internal investigation/prosecutorial decision;</w:t></w:r></w:p><w:p><w:pPr><w:numPr><w:ilvl w:val="0"/><w:numId w:val="1"/></w:numPr></w:pPr><w:r><w:rPr/><w:t xml:space="preserve">documentation showing refusal/delay in providing medical records and the</w:t></w:r></w:p><w:p><w:pPr/><w:r><w:rPr/><w:t xml:space="preserve">final decisions.</w:t></w:r></w:p><w:p><w:pPr/><w:r><w:rPr/><w:t xml:space="preserve">If you want, I can rewrite this into a formal “Annex” style (numbered paragraphs, suitable for</w:t></w:r></w:p><w:p><w:pPr/><w:r><w:rPr/><w:t xml:space="preserve">submission), keeping it strictly to what is in the documents and the related ECHR/UN</w:t></w:r></w:p><w:p><w:pPr/><w:r><w:rPr/><w:t xml:space="preserve">articles.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9E7C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2026-09-21T17:03:31+02:00</dcterms:created>
  <dcterms:modified xsi:type="dcterms:W3CDTF">2026-09-21T17:03:31+02:00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