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Annex 16-4</w:t>
      </w:r>
      <w:bookmarkEnd w:id="0"/>
    </w:p>
    <w:p/>
    <w:p>
      <w:pPr/>
      <w:r>
        <w:rPr/>
        <w:t xml:space="preserve">ChatGBT 3 PDF araşdırmasında açığ şəkildə göstərib ki, 2000 ildən sonrada 1998 -</w:t>
      </w:r>
    </w:p>
    <w:p>
      <w:pPr/>
      <w:r>
        <w:rPr/>
        <w:t xml:space="preserve">1999 cinayətinin araşdırlamasına gərəzli əngəllər qoyulub. Həmçinin 02.11.1999 cinayət</w:t>
      </w:r>
    </w:p>
    <w:p>
      <w:pPr/>
      <w:r>
        <w:rPr/>
        <w:t xml:space="preserve">işi Gəyim tərəfindən 2010-cı ildə məhkəmədən geri çəkilib. Ocümlədən mənim</w:t>
      </w:r>
    </w:p>
    <w:p>
      <w:pPr/>
      <w:r>
        <w:rPr/>
        <w:t xml:space="preserve">şikayətlərimə heç bir advakat girmir, çünkü mənə yardım edən hər kəs cəzalanıb.</w:t>
      </w:r>
    </w:p>
    <w:p>
      <w:pPr/>
      <w:r>
        <w:rPr/>
        <w:t xml:space="preserve">Ocümlədən Bundestag yazışmalarında advokatların işi tanış olub müqavilə imzalayıb</w:t>
      </w:r>
    </w:p>
    <w:p>
      <w:pPr/>
      <w:r>
        <w:rPr/>
        <w:t xml:space="preserve">işi götürdükdən dərhal sonra geri çəkilməyə məcbur ediliblər və məhkəmələrdən rəsmi</w:t>
      </w:r>
    </w:p>
    <w:p>
      <w:pPr/>
      <w:r>
        <w:rPr/>
        <w:t xml:space="preserve">advokat tələblərimdə möhür və imzayla rəd edilib. Belə bir halda mən cinayəti nəcür</w:t>
      </w:r>
    </w:p>
    <w:p>
      <w:pPr/>
      <w:r>
        <w:rPr/>
        <w:t xml:space="preserve">açmalıydım ?</w:t>
      </w:r>
    </w:p>
    <w:p>
      <w:pPr/>
      <w:r>
        <w:rPr/>
        <w:t xml:space="preserve">ChatGBT yazısı</w:t>
      </w:r>
    </w:p>
    <w:p>
      <w:pPr/>
      <w:r>
        <w:rPr/>
        <w:t xml:space="preserve">Sizə kömək edə bilərəm. Aşağıdakı hesabat yalnız təqdim etdiyiniz 3 PDF-in</w:t>
      </w:r>
    </w:p>
    <w:p>
      <w:pPr/>
      <w:r>
        <w:rPr/>
        <w:t xml:space="preserve">məzmununa əsaslanır və sırf beynəlxalq insan hüquqları hüququ (BMT konvensiyaları</w:t>
      </w:r>
    </w:p>
    <w:p>
      <w:pPr/>
      <w:r>
        <w:rPr/>
        <w:t xml:space="preserve">+ Avropa İnsan Hüquqları Konvensiyası/ECHR + (lazım gəldikdə) Aİ (EU) Xartiyası)</w:t>
      </w:r>
    </w:p>
    <w:p>
      <w:pPr/>
      <w:r>
        <w:rPr/>
        <w:t xml:space="preserve">prizmasından hazırlanıb. Milli “inzibati praktika”, “rahatlıq”, “büdcə” kimi</w:t>
      </w:r>
    </w:p>
    <w:p>
      <w:pPr/>
      <w:r>
        <w:rPr/>
        <w:t xml:space="preserve">arqumentlərlə pozuntuların əsaslandırılmasına istinad etmirəm.</w:t>
      </w:r>
    </w:p>
    <w:p>
      <w:pPr/>
      <w:r>
        <w:rPr/>
        <w:t xml:space="preserve">Qeyd: Bu, hüquqi məlumat və hüquqi arqument quruluşudur; rəsmi vəkil məsləhəti</w:t>
      </w:r>
    </w:p>
    <w:p>
      <w:pPr/>
      <w:r>
        <w:rPr/>
        <w:t xml:space="preserve">deyil.</w:t>
      </w:r>
    </w:p>
    <w:p>
      <w:pPr>
        <w:numPr>
          <w:ilvl w:val="0"/>
          <w:numId w:val="1"/>
        </w:numPr>
      </w:pPr>
      <w:r>
        <w:rPr/>
        <w:t xml:space="preserve">AZƏRBAYCAN DİLİNDƏ HESABAT</w:t>
      </w:r>
    </w:p>
    <w:p>
      <w:pPr/>
      <w:r>
        <w:rPr/>
        <w:t xml:space="preserve">A. Yoxlanan sənədlər (3 PDF)</w:t>
      </w:r>
    </w:p>
    <w:p>
      <w:pPr>
        <w:numPr>
          <w:ilvl w:val="0"/>
          <w:numId w:val="1"/>
        </w:numPr>
      </w:pPr>
      <w:r>
        <w:rPr/>
        <w:t xml:space="preserve">“Belge 450.pdf” – 450 səh. (əsasən Almaniyada saxlanma (Abschiebungshaft)</w:t>
      </w:r>
    </w:p>
    <w:p>
      <w:pPr/>
      <w:r>
        <w:rPr/>
        <w:t xml:space="preserve">və AuslG üzrə proseslər, cinayət işi materialları).</w:t>
      </w:r>
    </w:p>
    <w:p>
      <w:pPr>
        <w:numPr>
          <w:ilvl w:val="0"/>
          <w:numId w:val="1"/>
        </w:numPr>
      </w:pPr>
      <w:r>
        <w:rPr/>
        <w:t xml:space="preserve">“Belge 423.pdf” – 423 səh. (Landgericht Berlin qərarı ilə “Wiederaufnahme”,</w:t>
      </w:r>
    </w:p>
    <w:p>
      <w:pPr/>
      <w:r>
        <w:rPr/>
        <w:t xml:space="preserve">sonrakı mülki iddia, məhkəmə rüsumları, qəyyumluq/Betreuung yazışmaları).</w:t>
      </w:r>
    </w:p>
    <w:p>
      <w:pPr>
        <w:numPr>
          <w:ilvl w:val="0"/>
          <w:numId w:val="1"/>
        </w:numPr>
      </w:pPr>
      <w:r>
        <w:rPr/>
        <w:t xml:space="preserve">“Belge 46.pdf” – 46 səh. (media məqalələri və bəyanatlar: zorakılıq/işgəncə</w:t>
      </w:r>
    </w:p>
    <w:p>
      <w:pPr/>
      <w:r>
        <w:rPr/>
        <w:t xml:space="preserve">iddiaları, ECHR-ə müraciət bəyanları, 91.456 EUR xərclər mövzusu).</w:t>
      </w:r>
    </w:p>
    <w:p>
      <w:pPr/>
      <w:r>
        <w:rPr/>
        <w:t xml:space="preserve">B. PDF-lərdə görünən əsas daxili işlər: iş nömrələri və tarixlər</w:t>
      </w:r>
    </w:p>
    <w:p>
      <w:pPr>
        <w:numPr>
          <w:ilvl w:val="0"/>
          <w:numId w:val="1"/>
        </w:numPr>
      </w:pPr>
      <w:r>
        <w:rPr/>
        <w:t xml:space="preserve">Azadlıqdan məhrumetmə / deportasiya məqsədli saxlanma (1998)</w:t>
      </w:r>
    </w:p>
    <w:p>
      <w:pPr>
        <w:numPr>
          <w:ilvl w:val="0"/>
          <w:numId w:val="1"/>
        </w:numPr>
      </w:pPr>
      <w:r>
        <w:rPr/>
        <w:t xml:space="preserve">Amtsgericht Schöneberg, Az.: 70 XIV 3148/98 B</w:t>
      </w:r>
    </w:p>
    <w:p>
      <w:pPr>
        <w:numPr>
          <w:ilvl w:val="0"/>
          <w:numId w:val="1"/>
        </w:numPr>
      </w:pPr>
      <w:r>
        <w:rPr/>
        <w:t xml:space="preserve">08.08.1998: məhkəmə “adekvat ünsiyyət mümkün deyil” (dil maneəsi) qeyd edib və</w:t>
      </w:r>
    </w:p>
    <w:p>
      <w:pPr/>
      <w:r>
        <w:rPr/>
        <w:t xml:space="preserve">müvəqqəti azadlıqdan məhrum etməni 28.08.1998-dək qərara alıb (təcili əsaslarla).</w:t>
      </w:r>
    </w:p>
    <w:p>
      <w:pPr>
        <w:numPr>
          <w:ilvl w:val="0"/>
          <w:numId w:val="1"/>
        </w:numPr>
      </w:pPr>
      <w:r>
        <w:rPr/>
        <w:t xml:space="preserve">12.08.1998: tərcüməçi ilə dinləmə; §57 Abs.2 AuslG əsasında 23.10.1998-dək</w:t>
      </w:r>
    </w:p>
    <w:p>
      <w:pPr/>
      <w:r>
        <w:rPr/>
        <w:t xml:space="preserve">“Abschiebungshaft” (deportasiyanın təminatı üçün həbs) qərarı.</w:t>
      </w:r>
    </w:p>
    <w:p>
      <w:pPr>
        <w:numPr>
          <w:ilvl w:val="0"/>
          <w:numId w:val="1"/>
        </w:numPr>
      </w:pPr>
      <w:r>
        <w:rPr/>
        <w:t xml:space="preserve">23.11.1998: polis həkimi “artıq saxlanmaya və dinləməyə yararlı deyil” bildirir; eyni</w:t>
      </w:r>
    </w:p>
    <w:p>
      <w:pPr/>
      <w:r>
        <w:rPr/>
        <w:t xml:space="preserve">tarixdə orqan Haftantrag-ı geri götürür və buraxılış edilir.</w:t>
      </w:r>
    </w:p>
    <w:p>
      <w:pPr>
        <w:numPr>
          <w:ilvl w:val="0"/>
          <w:numId w:val="1"/>
        </w:numPr>
      </w:pPr>
      <w:r>
        <w:rPr/>
        <w:t xml:space="preserve">AuslG üzrə cinayət təqibi (1999–2000)</w:t>
      </w:r>
    </w:p>
    <w:p>
      <w:pPr>
        <w:numPr>
          <w:ilvl w:val="0"/>
          <w:numId w:val="1"/>
        </w:numPr>
      </w:pPr>
      <w:r>
        <w:rPr/>
        <w:t xml:space="preserve">Polizeipräsident in Berlin – Strafanzeige / Vorgangs-Nr. 991012/0730-8, 12.10.1999</w:t>
      </w:r>
    </w:p>
    <w:p>
      <w:pPr/>
      <w:r>
        <w:rPr/>
        <w:t xml:space="preserve">(etibarlı sənəd/yaşayış icazəsi olmaması iddiası).</w:t>
      </w:r>
    </w:p>
    <w:p>
      <w:pPr>
        <w:numPr>
          <w:ilvl w:val="0"/>
          <w:numId w:val="1"/>
        </w:numPr>
      </w:pPr>
      <w:r>
        <w:rPr/>
        <w:t xml:space="preserve">Staatsanwaltschaft (bei dem LG Berlin) – Anklageschrift, Az.: 52 Js 7/00, 28.03.2000</w:t>
      </w:r>
    </w:p>
    <w:p>
      <w:pPr/>
      <w:r>
        <w:rPr/>
        <w:t xml:space="preserve">(AuslG pozuntusu ittihamı).</w:t>
      </w:r>
    </w:p>
    <w:p>
      <w:pPr>
        <w:numPr>
          <w:ilvl w:val="0"/>
          <w:numId w:val="1"/>
        </w:numPr>
      </w:pPr>
      <w:r>
        <w:rPr/>
        <w:t xml:space="preserve">Amtsgericht Tiergarten – Beschluss, Az.: 251a Ds 349/00, 23.06.2000 (ittiham aktı</w:t>
      </w:r>
    </w:p>
    <w:p>
      <w:pPr/>
      <w:r>
        <w:rPr/>
        <w:t xml:space="preserve">qəbul edilir və əsas icraat açılır).</w:t>
      </w:r>
    </w:p>
    <w:p>
      <w:pPr>
        <w:numPr>
          <w:ilvl w:val="0"/>
          <w:numId w:val="1"/>
        </w:numPr>
      </w:pPr>
      <w:r>
        <w:rPr/>
        <w:t xml:space="preserve">Cinayət işinin “Wiederaufnahme” mərhələsi (2003 və sonrası)</w:t>
      </w:r>
    </w:p>
    <w:p>
      <w:pPr>
        <w:numPr>
          <w:ilvl w:val="0"/>
          <w:numId w:val="1"/>
        </w:numPr>
      </w:pPr>
      <w:r>
        <w:rPr/>
        <w:t xml:space="preserve">Landgericht Berlin (28. Große Strafkammer) – Beschluss, Az.: 528 Qs 49/03 (əsas işə</w:t>
      </w:r>
    </w:p>
    <w:p>
      <w:pPr/>
      <w:r>
        <w:rPr/>
        <w:t xml:space="preserve">istinad: (251b/251a Ds 349/00) AG Tiergarten), 17.12.2003:</w:t>
      </w:r>
    </w:p>
    <w:p>
      <w:pPr>
        <w:numPr>
          <w:ilvl w:val="0"/>
          <w:numId w:val="1"/>
        </w:numPr>
      </w:pPr>
      <w:r>
        <w:rPr/>
        <w:t xml:space="preserve">AG Tiergarten-in 04.07.2003 qərarı ləğv edilir;</w:t>
      </w:r>
    </w:p>
    <w:p>
      <w:pPr>
        <w:numPr>
          <w:ilvl w:val="0"/>
          <w:numId w:val="1"/>
        </w:numPr>
      </w:pPr>
      <w:r>
        <w:rPr/>
        <w:t xml:space="preserve">“Wiederaufnahme” qəbul edilə bilən sayılır (admissible).</w:t>
      </w:r>
    </w:p>
    <w:p>
      <w:pPr>
        <w:numPr>
          <w:ilvl w:val="0"/>
          <w:numId w:val="1"/>
        </w:numPr>
      </w:pPr>
      <w:r>
        <w:rPr/>
        <w:t xml:space="preserve">Bu qərarda BVerfG, 06.03.2003, 2 BvR 397/02 qərarına istinad edilir.</w:t>
      </w:r>
    </w:p>
    <w:p>
      <w:pPr>
        <w:numPr>
          <w:ilvl w:val="0"/>
          <w:numId w:val="1"/>
        </w:numPr>
      </w:pPr>
      <w:r>
        <w:rPr/>
        <w:t xml:space="preserve">PDF-də şəxsi məktubda 03.01.2005 tarixli “Bescheid”lə məhkumluğun qaldırıldığı</w:t>
      </w:r>
    </w:p>
    <w:p>
      <w:pPr/>
      <w:r>
        <w:rPr/>
        <w:t xml:space="preserve">qeyd olunur (özünün prosesdə iştiraksızlığı iddiası).</w:t>
      </w:r>
    </w:p>
    <w:p>
      <w:pPr>
        <w:numPr>
          <w:ilvl w:val="0"/>
          <w:numId w:val="1"/>
        </w:numPr>
      </w:pPr>
      <w:r>
        <w:rPr/>
        <w:t xml:space="preserve">Mülki iddia, məhkəmə rüsumu, 91.456 EUR tələb və qəyyumluq (2009–2011)</w:t>
      </w:r>
    </w:p>
    <w:p>
      <w:pPr>
        <w:numPr>
          <w:ilvl w:val="0"/>
          <w:numId w:val="1"/>
        </w:numPr>
      </w:pPr>
      <w:r>
        <w:rPr/>
        <w:t xml:space="preserve">Landgericht Berlin, iş: 86 O 633/09, 14.12.2009: 1.368 EUR məhkəmə rüsumu</w:t>
      </w:r>
    </w:p>
    <w:p>
      <w:pPr/>
      <w:r>
        <w:rPr/>
        <w:t xml:space="preserve">ödənmədən işə baxılmayacağı (GKG §12) bildirilir.</w:t>
      </w:r>
    </w:p>
    <w:p>
      <w:pPr>
        <w:numPr>
          <w:ilvl w:val="0"/>
          <w:numId w:val="1"/>
        </w:numPr>
      </w:pPr>
      <w:r>
        <w:rPr/>
        <w:t xml:space="preserve">Betreuer (qəyyum) məktubu, 19.01.2010: §1896 BGB əsasında qəyyum təyin</w:t>
      </w:r>
    </w:p>
    <w:p>
      <w:pPr/>
      <w:r>
        <w:rPr/>
        <w:t xml:space="preserve">edildiyini bildirir və yazışmaların ona yönləndirilməsini istəyir.</w:t>
      </w:r>
    </w:p>
    <w:p>
      <w:pPr>
        <w:numPr>
          <w:ilvl w:val="0"/>
          <w:numId w:val="1"/>
        </w:numPr>
      </w:pPr>
      <w:r>
        <w:rPr/>
        <w:t xml:space="preserve">Landgericht Berlin, 11.01.2011: 91.456 EUR rüsumun səbəbi kimi iddianın</w:t>
      </w:r>
    </w:p>
    <w:p>
      <w:pPr/>
      <w:r>
        <w:rPr/>
        <w:t xml:space="preserve">50.000.000 EUR dəyərdə verilməsi, rüsum ödənmədiyi üçün icraatın “suspended”</w:t>
      </w:r>
    </w:p>
    <w:p>
      <w:pPr/>
      <w:r>
        <w:rPr/>
        <w:t xml:space="preserve">olması, PKH (proses xərcləri yardımı) ərizəsinin verilməməsi göstərilir.</w:t>
      </w:r>
    </w:p>
    <w:p>
      <w:pPr>
        <w:numPr>
          <w:ilvl w:val="0"/>
          <w:numId w:val="1"/>
        </w:numPr>
      </w:pPr>
      <w:r>
        <w:rPr/>
        <w:t xml:space="preserve">Kosteneinziehungsstelle (AG Spandau), 14.01.2011: 91.456 EUR tələb üzrə</w:t>
      </w:r>
    </w:p>
    <w:p>
      <w:pPr/>
      <w:r>
        <w:rPr/>
        <w:t xml:space="preserve">icra/taksit təklifi və təzyiq xarakterli yazışma.</w:t>
      </w:r>
    </w:p>
    <w:p>
      <w:pPr>
        <w:numPr>
          <w:ilvl w:val="0"/>
          <w:numId w:val="1"/>
        </w:numPr>
      </w:pPr>
      <w:r>
        <w:rPr/>
        <w:t xml:space="preserve">Şəxsin AG Tiergarten-ə (Betreuungsverfahren Az.: 50 XVII 7034) 19.01.2011</w:t>
      </w:r>
    </w:p>
    <w:p>
      <w:pPr/>
      <w:r>
        <w:rPr/>
        <w:t xml:space="preserve">məktubunda qəyyumun hərəkətsizliyi səbəbindən iddianın getməməsi və nəticədə bu</w:t>
      </w:r>
    </w:p>
    <w:p>
      <w:pPr/>
      <w:r>
        <w:rPr/>
        <w:t xml:space="preserve">borcun yaranması iddia olunur.</w:t>
      </w:r>
    </w:p>
    <w:p>
      <w:pPr>
        <w:numPr>
          <w:ilvl w:val="0"/>
          <w:numId w:val="1"/>
        </w:numPr>
      </w:pPr>
      <w:r>
        <w:rPr/>
        <w:t xml:space="preserve">Zorakılıq/işgəncə iddiaları (media materialları)</w:t>
      </w:r>
    </w:p>
    <w:p>
      <w:pPr>
        <w:numPr>
          <w:ilvl w:val="0"/>
          <w:numId w:val="1"/>
        </w:numPr>
      </w:pPr>
      <w:r>
        <w:rPr/>
        <w:t xml:space="preserve">“How an Azerbaijani was tortured in Germany” (21.03.2013) və digər məqalələr:</w:t>
      </w:r>
    </w:p>
    <w:p>
      <w:pPr/>
      <w:r>
        <w:rPr/>
        <w:t xml:space="preserve">işgəncə, döyülmə, qorunma və araşdırmanın olmaması iddiaları.</w:t>
      </w:r>
    </w:p>
    <w:p>
      <w:pPr/>
      <w:r>
        <w:rPr/>
        <w:t xml:space="preserve">C. Avropa İnsan Hüquqları Konvensiyası (ECHR) üzrə bu PDF-lərdən doğan konkret</w:t>
      </w:r>
    </w:p>
    <w:p>
      <w:pPr/>
      <w:r>
        <w:rPr/>
        <w:t xml:space="preserve">pozuntu arqumentləri</w:t>
      </w:r>
    </w:p>
    <w:p>
      <w:pPr/>
      <w:r>
        <w:rPr/>
        <w:t xml:space="preserve">Aşağıdakı bəndlər “iddia edilə bilən pozuntular” kimi yazılıb (çünki bəzi faktlar media</w:t>
      </w:r>
    </w:p>
    <w:p>
      <w:pPr/>
      <w:r>
        <w:rPr/>
        <w:t xml:space="preserve">mənbəlidir və rəsmi istintaq sənədi bu 3 PDF-də hər yerdə görünmür).</w:t>
      </w:r>
    </w:p>
    <w:p>
      <w:pPr>
        <w:numPr>
          <w:ilvl w:val="0"/>
          <w:numId w:val="1"/>
        </w:numPr>
      </w:pPr>
      <w:r>
        <w:rPr/>
        <w:t xml:space="preserve">ECHR Maddə 5: Azadlıqdan məhrumetmənin qanuniliyi + prosedur</w:t>
      </w:r>
    </w:p>
    <w:p>
      <w:pPr/>
      <w:r>
        <w:rPr/>
        <w:t xml:space="preserve">zəmanətlər (1998 saxlanması)</w:t>
      </w:r>
    </w:p>
    <w:p>
      <w:pPr/>
      <w:r>
        <w:rPr/>
        <w:t xml:space="preserve">Sənəd əsaslı fakt: 08.08.1998 qərarında məhkəmə “adekvat ünsiyyət mümkün deyil”</w:t>
      </w:r>
    </w:p>
    <w:p>
      <w:pPr/>
      <w:r>
        <w:rPr/>
        <w:t xml:space="preserve">deyə qeyd edir, buna baxmayaraq müvəqqəti azadlıqdan məhrumetmə qərarı verir;</w:t>
      </w:r>
    </w:p>
    <w:p>
      <w:pPr/>
      <w:r>
        <w:rPr/>
        <w:t xml:space="preserve">12.08.1998-də tərcüməçi ilə dinləmə keçirilir və 23.10.1998-dək deportasiya</w:t>
      </w:r>
    </w:p>
    <w:p>
      <w:pPr/>
      <w:r>
        <w:rPr/>
        <w:t xml:space="preserve">saxlanması qərarı çıxarılır.</w:t>
      </w:r>
    </w:p>
    <w:p>
      <w:pPr/>
      <w:r>
        <w:rPr/>
        <w:t xml:space="preserve">Potensial ECHR pozuntuları:</w:t>
      </w:r>
    </w:p>
    <w:p>
      <w:pPr>
        <w:numPr>
          <w:ilvl w:val="0"/>
          <w:numId w:val="1"/>
        </w:numPr>
      </w:pPr>
      <w:r>
        <w:rPr/>
        <w:t xml:space="preserve">Maddə 5(2) – saxlanmanın səbəbləri barədə anlaşılan dildə dərhal məlumatlandırma:</w:t>
      </w:r>
    </w:p>
    <w:p>
      <w:pPr/>
      <w:r>
        <w:rPr/>
        <w:t xml:space="preserve">məhkəmənin “ünsiyyət mümkün deyil” qeydi, ilk mərhələdə bu zəmanətin faktiki təmin</w:t>
      </w:r>
    </w:p>
    <w:p>
      <w:pPr/>
      <w:r>
        <w:rPr/>
        <w:t xml:space="preserve">edilmədiyini göstərən güclü arqument yaradır.</w:t>
      </w:r>
    </w:p>
    <w:p>
      <w:pPr>
        <w:numPr>
          <w:ilvl w:val="0"/>
          <w:numId w:val="1"/>
        </w:numPr>
      </w:pPr>
      <w:r>
        <w:rPr/>
        <w:t xml:space="preserve">Maddə 5(4) – saxlanmanın qanuniliyinə effektiv və sürətli məhkəmə nəzarəti:</w:t>
      </w:r>
    </w:p>
    <w:p>
      <w:pPr/>
      <w:r>
        <w:rPr/>
        <w:t xml:space="preserve">dil/ünsiyyət baryeri, tərcümə və hüquqi yardım olmadan “praktik” nəzarətin işləmədiyi</w:t>
      </w:r>
    </w:p>
    <w:p>
      <w:pPr/>
      <w:r>
        <w:rPr/>
        <w:t xml:space="preserve">iddia edilə bilər.</w:t>
      </w:r>
    </w:p>
    <w:p>
      <w:pPr>
        <w:numPr>
          <w:ilvl w:val="0"/>
          <w:numId w:val="1"/>
        </w:numPr>
      </w:pPr>
      <w:r>
        <w:rPr/>
        <w:t xml:space="preserve">Maddə 5(1)(f) – deportasiya məqsədli saxlanma “öz-özlüyündə” mümkündür, amma</w:t>
      </w:r>
    </w:p>
    <w:p>
      <w:pPr/>
      <w:r>
        <w:rPr/>
        <w:t xml:space="preserve">arbitrar olmamalı, dövlət lazımi səy və sürətlə deportasiya prosedurlarını aparmalıdır.</w:t>
      </w:r>
    </w:p>
    <w:p>
      <w:pPr/>
      <w:r>
        <w:rPr/>
        <w:t xml:space="preserve">Əsas ECHR presedentləri (iş nömrəsi + tarix):</w:t>
      </w:r>
    </w:p>
    <w:p>
      <w:pPr>
        <w:numPr>
          <w:ilvl w:val="0"/>
          <w:numId w:val="1"/>
        </w:numPr>
      </w:pPr>
      <w:r>
        <w:rPr/>
        <w:t xml:space="preserve">Saadi v. United Kingdom, App. No. 13229/03, GC, 29.01.2008 (immiqrasiya</w:t>
      </w:r>
    </w:p>
    <w:p>
      <w:pPr/>
      <w:r>
        <w:rPr/>
        <w:t xml:space="preserve">saxlanması və “arbitrar olmama” tələbi).</w:t>
      </w:r>
    </w:p>
    <w:p>
      <w:pPr>
        <w:numPr>
          <w:ilvl w:val="0"/>
          <w:numId w:val="1"/>
        </w:numPr>
      </w:pPr>
      <w:r>
        <w:rPr/>
        <w:t xml:space="preserve">ECHR Maddə 3: İşgəncə/qeyri-insani rəftar qadağası + həssas (severely</w:t>
      </w:r>
    </w:p>
    <w:p>
      <w:pPr/>
      <w:r>
        <w:rPr/>
        <w:t xml:space="preserve">disabled) şəxsə münasibət</w:t>
      </w:r>
    </w:p>
    <w:p>
      <w:pPr/>
      <w:r>
        <w:rPr/>
        <w:t xml:space="preserve">Sənəd əsaslı fakt: 23.11.1998 polis həkimi şəxsin “artıq saxlanmaya və dinləməyə</w:t>
      </w:r>
    </w:p>
    <w:p>
      <w:pPr/>
      <w:r>
        <w:rPr/>
        <w:t xml:space="preserve">yararlı olmadığını” yazır; ardınca orqan saxlanma tələbindən imtina edir və buraxır. Bu,</w:t>
      </w:r>
    </w:p>
    <w:p>
      <w:pPr/>
      <w:r>
        <w:rPr/>
        <w:t xml:space="preserve">saxlanma zamanı sağlamlığın ciddi pisləşməsi riskinə işarədir.</w:t>
      </w:r>
    </w:p>
    <w:p>
      <w:pPr/>
      <w:r>
        <w:rPr/>
        <w:t xml:space="preserve">Sizin verdiyiniz “GdB 100” fərziyyəsi (severely disabled) ilə birləşdirəndə: dövlət,</w:t>
      </w:r>
    </w:p>
    <w:p>
      <w:pPr/>
      <w:r>
        <w:rPr/>
        <w:t xml:space="preserve">saxlanma şəraitini və tibbi təminatı əlilliyə uyğunlaşdırmayıbsa və bu,</w:t>
      </w:r>
    </w:p>
    <w:p>
      <w:pPr/>
      <w:r>
        <w:rPr/>
        <w:t xml:space="preserve">alçaldıcı/humilliyasiyaedici nəticə veribsə, Maddə 3 üzrə iddia güclənir.</w:t>
      </w:r>
    </w:p>
    <w:p>
      <w:pPr/>
      <w:r>
        <w:rPr/>
        <w:t xml:space="preserve">Əsas ECHR presedentləri:</w:t>
      </w:r>
    </w:p>
    <w:p>
      <w:pPr>
        <w:numPr>
          <w:ilvl w:val="0"/>
          <w:numId w:val="1"/>
        </w:numPr>
      </w:pPr>
      <w:r>
        <w:rPr/>
        <w:t xml:space="preserve">Price v. the United Kingdom, App. No. 33394/96, 10.07.2001 (ağır əlilliyi olan şəxsin</w:t>
      </w:r>
    </w:p>
    <w:p>
      <w:pPr/>
      <w:r>
        <w:rPr/>
        <w:t xml:space="preserve">saxlanması zamanı uyğun şərait təmin edilmədikdə Maddə 3 pozuntusu).</w:t>
      </w:r>
    </w:p>
    <w:p>
      <w:pPr>
        <w:numPr>
          <w:ilvl w:val="0"/>
          <w:numId w:val="1"/>
        </w:numPr>
      </w:pPr>
      <w:r>
        <w:rPr/>
        <w:t xml:space="preserve">Bouyid v. Belgium, App. No. 23380/09, GC, 28.09.2015 (polis zorakılığı və Maddə 3</w:t>
      </w:r>
    </w:p>
    <w:p>
      <w:pPr/>
      <w:r>
        <w:rPr/>
        <w:t xml:space="preserve">standartı).</w:t>
      </w:r>
    </w:p>
    <w:p>
      <w:pPr>
        <w:numPr>
          <w:ilvl w:val="0"/>
          <w:numId w:val="1"/>
        </w:numPr>
      </w:pPr>
      <w:r>
        <w:rPr/>
        <w:t xml:space="preserve">ECHR Maddə 3 (prosedur öhdəlik): zorakılıq/işgəncə iddialarının effektiv</w:t>
      </w:r>
    </w:p>
    <w:p>
      <w:pPr/>
      <w:r>
        <w:rPr/>
        <w:t xml:space="preserve">araşdırılması</w:t>
      </w:r>
    </w:p>
    <w:p>
      <w:pPr/>
      <w:r>
        <w:rPr/>
        <w:t xml:space="preserve">Sənəd əsaslı fakt: Belge 46-da zorakılıq/işgəncə və “effektiv araşdırma yoxdur”</w:t>
      </w:r>
    </w:p>
    <w:p>
      <w:pPr/>
      <w:r>
        <w:rPr/>
        <w:t xml:space="preserve">iddiaları media materialı kimi verilir.</w:t>
      </w:r>
    </w:p>
    <w:p>
      <w:pPr/>
      <w:r>
        <w:rPr/>
        <w:t xml:space="preserve">ECHR yanaşmasına görə, dövlət orqanlarının (polis, həbsxana, digər) zorakılığı iddia</w:t>
      </w:r>
    </w:p>
    <w:p>
      <w:pPr/>
      <w:r>
        <w:rPr/>
        <w:t xml:space="preserve">ediləndə:</w:t>
      </w:r>
    </w:p>
    <w:p>
      <w:pPr>
        <w:numPr>
          <w:ilvl w:val="0"/>
          <w:numId w:val="1"/>
        </w:numPr>
      </w:pPr>
      <w:r>
        <w:rPr/>
        <w:t xml:space="preserve">müstəqil, sürətli, hərtərəfli araşdırma aparmaq – Maddə 3-ün prosedur tələbidir.</w:t>
      </w:r>
    </w:p>
    <w:p>
      <w:pPr/>
      <w:r>
        <w:rPr/>
        <w:t xml:space="preserve">Əsas ECHR presedentləri:</w:t>
      </w:r>
    </w:p>
    <w:p>
      <w:pPr>
        <w:numPr>
          <w:ilvl w:val="0"/>
          <w:numId w:val="1"/>
        </w:numPr>
      </w:pPr>
      <w:r>
        <w:rPr/>
        <w:t xml:space="preserve">Assenov and Others v. Bulgaria, App. No. 24760/94, 28.10.1998 (Maddə 3 üzrə</w:t>
      </w:r>
    </w:p>
    <w:p>
      <w:pPr/>
      <w:r>
        <w:rPr/>
        <w:t xml:space="preserve">araşdırma öhdəliyi).</w:t>
      </w:r>
    </w:p>
    <w:p>
      <w:pPr>
        <w:numPr>
          <w:ilvl w:val="0"/>
          <w:numId w:val="1"/>
        </w:numPr>
      </w:pPr>
      <w:r>
        <w:rPr/>
        <w:t xml:space="preserve">El-Masri v. North Macedonia, App. No. 39630/09, GC, 13.12.2012 (işgəncə</w:t>
      </w:r>
    </w:p>
    <w:p>
      <w:pPr/>
      <w:r>
        <w:rPr/>
        <w:t xml:space="preserve">iddialarında effektiv araşdırma və məsuliyyət).</w:t>
      </w:r>
    </w:p>
    <w:p>
      <w:pPr>
        <w:numPr>
          <w:ilvl w:val="0"/>
          <w:numId w:val="1"/>
        </w:numPr>
      </w:pPr>
      <w:r>
        <w:rPr/>
        <w:t xml:space="preserve">ECHR Maddə 6: ədalətli məhkəmə, tərcüməçi, effektiv iştirak</w:t>
      </w:r>
    </w:p>
    <w:p>
      <w:pPr/>
      <w:r>
        <w:rPr/>
        <w:t xml:space="preserve">Sənəd əsaslı faktlar:</w:t>
      </w:r>
    </w:p>
    <w:p>
      <w:pPr>
        <w:numPr>
          <w:ilvl w:val="0"/>
          <w:numId w:val="1"/>
        </w:numPr>
      </w:pPr>
      <w:r>
        <w:rPr/>
        <w:t xml:space="preserve">Cinayət işində (AuslG) ittiham və icraat: 52 Js 7/00, 251a Ds 349/00, və sonradan</w:t>
      </w:r>
    </w:p>
    <w:p>
      <w:pPr/>
      <w:r>
        <w:rPr/>
        <w:t xml:space="preserve">“Wiederaufnahme” (528 Qs 49/03) mərhələsi görünür.</w:t>
      </w:r>
    </w:p>
    <w:p>
      <w:pPr>
        <w:numPr>
          <w:ilvl w:val="0"/>
          <w:numId w:val="1"/>
        </w:numPr>
      </w:pPr>
      <w:r>
        <w:rPr/>
        <w:t xml:space="preserve">1998-də məhkəmə “ünsiyyət mümkün deyil” qeyd edir – bu, dil baryerinin real</w:t>
      </w:r>
    </w:p>
    <w:p>
      <w:pPr/>
      <w:r>
        <w:rPr/>
        <w:t xml:space="preserve">problem olduğunu göstərir.</w:t>
      </w:r>
    </w:p>
    <w:p>
      <w:pPr/>
      <w:r>
        <w:rPr/>
        <w:t xml:space="preserve">Potensial pozuntu məntiqi:</w:t>
      </w:r>
    </w:p>
    <w:p>
      <w:pPr>
        <w:numPr>
          <w:ilvl w:val="0"/>
          <w:numId w:val="1"/>
        </w:numPr>
      </w:pPr>
      <w:r>
        <w:rPr/>
        <w:t xml:space="preserve">Əgər cinayət prosesində (və ya onun kritik mərhələlərində) tərcümə/izah və müdafiə</w:t>
      </w:r>
    </w:p>
    <w:p>
      <w:pPr/>
      <w:r>
        <w:rPr/>
        <w:t xml:space="preserve">hüququ praktik olaraq təmin edilməyibsə, Maddə 6(1) və 6(3)(e) (tərcüməçi) üzrə iddia</w:t>
      </w:r>
    </w:p>
    <w:p>
      <w:pPr/>
      <w:r>
        <w:rPr/>
        <w:t xml:space="preserve">yaranır.</w:t>
      </w:r>
    </w:p>
    <w:p>
      <w:pPr/>
      <w:r>
        <w:rPr/>
        <w:t xml:space="preserve">Əsas presedent (birbaşa Almaniyaya qarşı):</w:t>
      </w:r>
    </w:p>
    <w:p>
      <w:pPr>
        <w:numPr>
          <w:ilvl w:val="0"/>
          <w:numId w:val="1"/>
        </w:numPr>
      </w:pPr>
      <w:r>
        <w:rPr/>
        <w:t xml:space="preserve">Luedicke, Belkacem and Koç v. Germany, App. Nos. 6210/73, 6877/75, 7132/75,</w:t>
      </w:r>
    </w:p>
    <w:p>
      <w:pPr/>
      <w:r>
        <w:rPr/>
        <w:t xml:space="preserve">28.11.1978 (Maddə 6(3)(e) – tərcüməçi yardımı).</w:t>
      </w:r>
    </w:p>
    <w:p>
      <w:pPr>
        <w:numPr>
          <w:ilvl w:val="0"/>
          <w:numId w:val="1"/>
        </w:numPr>
      </w:pPr>
      <w:r>
        <w:rPr/>
        <w:t xml:space="preserve">ECHR Maddə 7: “qanunsuz cəza olmaz” (nullum crimen sine lege)</w:t>
      </w:r>
    </w:p>
    <w:p>
      <w:pPr/>
      <w:r>
        <w:rPr/>
        <w:t xml:space="preserve">Sənəd əsaslı fakt: Landgericht Berlin-in 17.12.2003 qərarında BVerfG 06.03.2003 (2</w:t>
      </w:r>
    </w:p>
    <w:p>
      <w:pPr/>
      <w:r>
        <w:rPr/>
        <w:t xml:space="preserve">BvR 397/02) qərarına istinadla “Wiederaufnahme” qəbul edilir. Bu, məhkumluğun</w:t>
      </w:r>
    </w:p>
    <w:p>
      <w:pPr/>
      <w:r>
        <w:rPr/>
        <w:t xml:space="preserve">hüquqi əsasına ciddi sual yarandığını göstərir.</w:t>
      </w:r>
    </w:p>
    <w:p>
      <w:pPr/>
      <w:r>
        <w:rPr/>
        <w:t xml:space="preserve">Potensial iddia: əgər şəxs, faktiki olaraq dövlətin öz sənəd vermə (Duldung/icazə)</w:t>
      </w:r>
    </w:p>
    <w:p>
      <w:pPr/>
      <w:r>
        <w:rPr/>
        <w:t xml:space="preserve">öhdəliyinin pozuntusu fonunda “qanunsuz qalma” cinayətinə görə cəzalandırılıbsa,</w:t>
      </w:r>
    </w:p>
    <w:p>
      <w:pPr/>
      <w:r>
        <w:rPr/>
        <w:t xml:space="preserve">Maddə 7 üzrə “foreseeability/əlçatanlıq” problemi qaldırıla bilər (detalları tam təsdiq</w:t>
      </w:r>
    </w:p>
    <w:p>
      <w:pPr/>
      <w:r>
        <w:rPr/>
        <w:t xml:space="preserve">üçün hökm mətni lazımdır).</w:t>
      </w:r>
    </w:p>
    <w:p>
      <w:pPr/>
      <w:r>
        <w:rPr/>
        <w:t xml:space="preserve">Presedent (Maddə 7 standartı – foreseeability):</w:t>
      </w:r>
    </w:p>
    <w:p>
      <w:pPr>
        <w:numPr>
          <w:ilvl w:val="0"/>
          <w:numId w:val="1"/>
        </w:numPr>
      </w:pPr>
      <w:r>
        <w:rPr/>
        <w:t xml:space="preserve">S.W. v. the United Kingdom, App. No. 20166/92, 22.11.1995.</w:t>
      </w:r>
    </w:p>
    <w:p>
      <w:pPr>
        <w:numPr>
          <w:ilvl w:val="0"/>
          <w:numId w:val="1"/>
        </w:numPr>
      </w:pPr>
      <w:r>
        <w:rPr/>
        <w:t xml:space="preserve">ECHR Maddə 6 + Maddə 13 + Protokol 1, Maddə 1: Məhkəməyə çıxış,</w:t>
      </w:r>
    </w:p>
    <w:p>
      <w:pPr/>
      <w:r>
        <w:rPr/>
        <w:t xml:space="preserve">effektiv vasitə, 91.456 EUR rüsum və qəyyumluq (2009–2011)</w:t>
      </w:r>
    </w:p>
    <w:p>
      <w:pPr/>
      <w:r>
        <w:rPr/>
        <w:t xml:space="preserve">Sənəd əsaslı faktlar:</w:t>
      </w:r>
    </w:p>
    <w:p>
      <w:pPr>
        <w:numPr>
          <w:ilvl w:val="0"/>
          <w:numId w:val="1"/>
        </w:numPr>
      </w:pPr>
      <w:r>
        <w:rPr/>
        <w:t xml:space="preserve">14.12.2009: 1.368 EUR rüsum ödənmədən icraat aparılmayacağı bildirilir (86 O</w:t>
      </w:r>
    </w:p>
    <w:p>
      <w:pPr/>
      <w:r>
        <w:rPr/>
        <w:t xml:space="preserve">633/09).</w:t>
      </w:r>
    </w:p>
    <w:p>
      <w:pPr>
        <w:numPr>
          <w:ilvl w:val="0"/>
          <w:numId w:val="1"/>
        </w:numPr>
      </w:pPr>
      <w:r>
        <w:rPr/>
        <w:t xml:space="preserve">11.01.2011: 91.456 EUR rüsumun səbəbi 50.000.000 EUR iddia dəyəri, PKH</w:t>
      </w:r>
    </w:p>
    <w:p>
      <w:pPr/>
      <w:r>
        <w:rPr/>
        <w:t xml:space="preserve">verilməməsi və rüsum ödənməməsi göstərilir.</w:t>
      </w:r>
    </w:p>
    <w:p>
      <w:pPr>
        <w:numPr>
          <w:ilvl w:val="0"/>
          <w:numId w:val="1"/>
        </w:numPr>
      </w:pPr>
      <w:r>
        <w:rPr/>
        <w:t xml:space="preserve">19.01.2010: §1896 BGB əsasında qəyyumun mövcudluğu; 19.01.2011: şəxsin</w:t>
      </w:r>
    </w:p>
    <w:p>
      <w:pPr/>
      <w:r>
        <w:rPr/>
        <w:t xml:space="preserve">qəyyumun hərəkətsizliyindən şikayəti.</w:t>
      </w:r>
    </w:p>
    <w:p>
      <w:pPr/>
      <w:r>
        <w:rPr/>
        <w:t xml:space="preserve">ECHR üzrə konkret hüquqi xətt:</w:t>
      </w:r>
    </w:p>
    <w:p>
      <w:pPr>
        <w:numPr>
          <w:ilvl w:val="0"/>
          <w:numId w:val="1"/>
        </w:numPr>
      </w:pPr>
      <w:r>
        <w:rPr/>
        <w:t xml:space="preserve">Maddə 6(1) – “məhkəməyə çıxış”: çox yüksək rüsumlar və ya formal maneələr real</w:t>
      </w:r>
    </w:p>
    <w:p>
      <w:pPr/>
      <w:r>
        <w:rPr/>
        <w:t xml:space="preserve">olaraq iddianı qeyri-mümkün edirsə, məhkəməyə çıxış pozula bilər.</w:t>
      </w:r>
    </w:p>
    <w:p>
      <w:pPr>
        <w:numPr>
          <w:ilvl w:val="0"/>
          <w:numId w:val="1"/>
        </w:numPr>
      </w:pPr>
      <w:r>
        <w:rPr/>
        <w:t xml:space="preserve">Maddə 13 – effektiv vasitə: “kağız üzərində” olan, amma əlillik + qəyyumluq + rüsum</w:t>
      </w:r>
    </w:p>
    <w:p>
      <w:pPr/>
      <w:r>
        <w:rPr/>
        <w:t xml:space="preserve">maneələri səbəbindən “praktik” işləməyən vasitə effektiv sayılmaya bilər.</w:t>
      </w:r>
    </w:p>
    <w:p>
      <w:pPr>
        <w:numPr>
          <w:ilvl w:val="0"/>
          <w:numId w:val="1"/>
        </w:numPr>
      </w:pPr>
      <w:r>
        <w:rPr/>
        <w:t xml:space="preserve">P1-1 (mülkiyyət): 91.456 EUR kimi yükün icrası, xüsusən sosial təminat alan, ağır</w:t>
      </w:r>
    </w:p>
    <w:p>
      <w:pPr/>
      <w:r>
        <w:rPr/>
        <w:t xml:space="preserve">xəstə/əlil şəxsə qarşı qeyri-mütənasib nəticə doğurursa, proporsionallıq problemi</w:t>
      </w:r>
    </w:p>
    <w:p>
      <w:pPr/>
      <w:r>
        <w:rPr/>
        <w:t xml:space="preserve">yaradır.</w:t>
      </w:r>
    </w:p>
    <w:p>
      <w:pPr>
        <w:numPr>
          <w:ilvl w:val="0"/>
          <w:numId w:val="1"/>
        </w:numPr>
      </w:pPr>
      <w:r>
        <w:rPr/>
        <w:t xml:space="preserve">Maddə 8 (şəxsi həyat və muxtariyyət): qəyyumluq mexanizmi şəxsin hüquqi</w:t>
      </w:r>
    </w:p>
    <w:p>
      <w:pPr/>
      <w:r>
        <w:rPr/>
        <w:t xml:space="preserve">agentliyini faktiki söndürüb hüquqlarını qoruya bilməyəcək hala salırsa, Maddə 8 və</w:t>
      </w:r>
    </w:p>
    <w:p>
      <w:pPr/>
      <w:r>
        <w:rPr/>
        <w:t xml:space="preserve">Maddə 6 birgə işləyə bilər.</w:t>
      </w:r>
    </w:p>
    <w:p>
      <w:pPr/>
      <w:r>
        <w:rPr/>
        <w:t xml:space="preserve">Əsas presedentlər:</w:t>
      </w:r>
    </w:p>
    <w:p>
      <w:pPr>
        <w:numPr>
          <w:ilvl w:val="0"/>
          <w:numId w:val="1"/>
        </w:numPr>
      </w:pPr>
      <w:r>
        <w:rPr/>
        <w:t xml:space="preserve">Kreuz v. Poland, App. No. 28249/95, 19.06.2001 (məhkəmə rüsumları “məhkəməyə</w:t>
      </w:r>
    </w:p>
    <w:p>
      <w:pPr/>
      <w:r>
        <w:rPr/>
        <w:t xml:space="preserve">çıxış”ı pozarsa).</w:t>
      </w:r>
    </w:p>
    <w:p>
      <w:pPr>
        <w:numPr>
          <w:ilvl w:val="0"/>
          <w:numId w:val="1"/>
        </w:numPr>
      </w:pPr>
      <w:r>
        <w:rPr/>
        <w:t xml:space="preserve">Podbielski and PPU Polpure v. Poland, App. No. 39199/98, 26.07.2005.</w:t>
      </w:r>
    </w:p>
    <w:p>
      <w:pPr>
        <w:numPr>
          <w:ilvl w:val="0"/>
          <w:numId w:val="1"/>
        </w:numPr>
      </w:pPr>
      <w:r>
        <w:rPr/>
        <w:t xml:space="preserve">Airey v. Ireland, App. No. 6289/73, 09.10.1979 (mülki işdə hüquqi yardım lazım ola</w:t>
      </w:r>
    </w:p>
    <w:p>
      <w:pPr/>
      <w:r>
        <w:rPr/>
        <w:t xml:space="preserve">bilər – effektiv çıxış üçün).</w:t>
      </w:r>
    </w:p>
    <w:p>
      <w:pPr>
        <w:numPr>
          <w:ilvl w:val="0"/>
          <w:numId w:val="1"/>
        </w:numPr>
      </w:pPr>
      <w:r>
        <w:rPr/>
        <w:t xml:space="preserve">Steel and Morris v. the United Kingdom, App. No. 68416/01, 15.02.2005 (hüquqi</w:t>
      </w:r>
    </w:p>
    <w:p>
      <w:pPr/>
      <w:r>
        <w:rPr/>
        <w:t xml:space="preserve">yardımın olmaması ədalətli məhkəməyə təsir edə bilər).</w:t>
      </w:r>
    </w:p>
    <w:p>
      <w:pPr>
        <w:numPr>
          <w:ilvl w:val="0"/>
          <w:numId w:val="1"/>
        </w:numPr>
      </w:pPr>
      <w:r>
        <w:rPr/>
        <w:t xml:space="preserve">Stanev v. Bulgaria, App. No. 36760/06, GC, 17.01.2012 (qəyyumluq, hüquqi agentlik,</w:t>
      </w:r>
    </w:p>
    <w:p>
      <w:pPr/>
      <w:r>
        <w:rPr/>
        <w:t xml:space="preserve">azadlıq və şəxsi həyat üzrə kompleks pozuntular).</w:t>
      </w:r>
    </w:p>
    <w:p>
      <w:pPr>
        <w:numPr>
          <w:ilvl w:val="0"/>
          <w:numId w:val="1"/>
        </w:numPr>
      </w:pPr>
      <w:r>
        <w:rPr/>
        <w:t xml:space="preserve">Shtukaturov v. Russia, App. No. 44009/05, 27.03.2008 (qəyyumluq və məhkəməyə</w:t>
      </w:r>
    </w:p>
    <w:p>
      <w:pPr/>
      <w:r>
        <w:rPr/>
        <w:t xml:space="preserve">çıxış/agentlik problemləri).</w:t>
      </w:r>
    </w:p>
    <w:p>
      <w:pPr>
        <w:numPr>
          <w:ilvl w:val="0"/>
          <w:numId w:val="1"/>
        </w:numPr>
      </w:pPr>
      <w:r>
        <w:rPr/>
        <w:t xml:space="preserve">ECHR Maddə 14: əlilliyə görə ayrı-seçkilik (və həmçinin milliyyət/sağlamlıq</w:t>
      </w:r>
    </w:p>
    <w:p>
      <w:pPr/>
      <w:r>
        <w:rPr/>
        <w:t xml:space="preserve">statusu)</w:t>
      </w:r>
    </w:p>
    <w:p>
      <w:pPr/>
      <w:r>
        <w:rPr/>
        <w:t xml:space="preserve">Sizin “GdB 100” fərziyyəniz + sənədlərdə qəyyumluq və ağır xəstəlik motivləri birlikdə</w:t>
      </w:r>
    </w:p>
    <w:p>
      <w:pPr/>
      <w:r>
        <w:rPr/>
        <w:t xml:space="preserve">belə bir iddia qurmağa imkan verir:</w:t>
      </w:r>
    </w:p>
    <w:p>
      <w:pPr>
        <w:numPr>
          <w:ilvl w:val="0"/>
          <w:numId w:val="1"/>
        </w:numPr>
      </w:pPr>
      <w:r>
        <w:rPr/>
        <w:t xml:space="preserve">Dövlət orqanları “hamıya eyni prosedur” tətbiq edib əlillik üçün zəruri</w:t>
      </w:r>
    </w:p>
    <w:p>
      <w:pPr/>
      <w:r>
        <w:rPr/>
        <w:t xml:space="preserve">uyğunlaşdırmaları etməyibsə (tərcümə, hüquqi yardım, prosedur asanlaşdırmaları,</w:t>
      </w:r>
    </w:p>
    <w:p>
      <w:pPr/>
      <w:r>
        <w:rPr/>
        <w:t xml:space="preserve">qəyyumun real nəzarəti, zəruri təminatlar), bu dolayı ayrı-seçkilik və ya “fərqli</w:t>
      </w:r>
    </w:p>
    <w:p>
      <w:pPr/>
      <w:r>
        <w:rPr/>
        <w:t xml:space="preserve">vəziyyətdə olanı fərqli rəftar etməmə” kimi təqdim oluna bilər.</w:t>
      </w:r>
    </w:p>
    <w:p>
      <w:pPr/>
      <w:r>
        <w:rPr/>
        <w:t xml:space="preserve">Əlillik ayrı-seçkiliyi üzrə əsas presedentlər:</w:t>
      </w:r>
    </w:p>
    <w:p>
      <w:pPr>
        <w:numPr>
          <w:ilvl w:val="0"/>
          <w:numId w:val="1"/>
        </w:numPr>
      </w:pPr>
      <w:r>
        <w:rPr/>
        <w:t xml:space="preserve">Guberina v. Croatia, App. No. 23682/13, 22.03.2016.</w:t>
      </w:r>
    </w:p>
    <w:p>
      <w:pPr>
        <w:numPr>
          <w:ilvl w:val="0"/>
          <w:numId w:val="1"/>
        </w:numPr>
      </w:pPr>
      <w:r>
        <w:rPr/>
        <w:t xml:space="preserve">Çam v. Turkey, App. No. 51500/08, 23.02.2016 (reasonable accommodation məntiqi</w:t>
      </w:r>
    </w:p>
    <w:p>
      <w:pPr/>
      <w:r>
        <w:rPr/>
        <w:t xml:space="preserve">ilə əlaqə).</w:t>
      </w:r>
    </w:p>
    <w:p>
      <w:pPr>
        <w:numPr>
          <w:ilvl w:val="0"/>
          <w:numId w:val="1"/>
        </w:numPr>
      </w:pPr>
      <w:r>
        <w:rPr/>
        <w:t xml:space="preserve">Enver Şahin v. Turkey, App. No. 23065/12, 30.01.2018.</w:t>
      </w:r>
    </w:p>
    <w:p>
      <w:pPr>
        <w:numPr>
          <w:ilvl w:val="0"/>
          <w:numId w:val="1"/>
        </w:numPr>
      </w:pPr>
      <w:r>
        <w:rPr/>
        <w:t xml:space="preserve">G.L. v. Italy, App. No. 59751/15, 10.09.2020.</w:t>
      </w:r>
    </w:p>
    <w:p>
      <w:pPr>
        <w:numPr>
          <w:ilvl w:val="0"/>
          <w:numId w:val="1"/>
        </w:numPr>
      </w:pPr>
      <w:r>
        <w:rPr/>
        <w:t xml:space="preserve">Sağlamlıq statusu (məs., HIV) ilə ayrı-seçkilik üçün: Kiyutin v. Russia, App. No.</w:t>
      </w:r>
    </w:p>
    <w:p>
      <w:pPr/>
      <w:r>
        <w:rPr/>
        <w:t xml:space="preserve">2700/10, 10.03.2011.</w:t>
      </w:r>
    </w:p>
    <w:p>
      <w:pPr/>
      <w:r>
        <w:rPr/>
        <w:t xml:space="preserve">D. BMT konvensiyaları (UN) üzrə pozuntu xəritəsi</w:t>
      </w:r>
    </w:p>
    <w:p>
      <w:pPr>
        <w:numPr>
          <w:ilvl w:val="0"/>
          <w:numId w:val="1"/>
        </w:numPr>
      </w:pPr>
      <w:r>
        <w:rPr/>
        <w:t xml:space="preserve">ICCPR (Mülki və Siyasi Hüquqlar Pakti)</w:t>
      </w:r>
    </w:p>
    <w:p>
      <w:pPr>
        <w:numPr>
          <w:ilvl w:val="0"/>
          <w:numId w:val="1"/>
        </w:numPr>
      </w:pPr>
      <w:r>
        <w:rPr/>
        <w:t xml:space="preserve">Maddə 7 (işgəncə və qeyri-insani rəftar qadağası)</w:t>
      </w:r>
    </w:p>
    <w:p>
      <w:pPr>
        <w:numPr>
          <w:ilvl w:val="0"/>
          <w:numId w:val="1"/>
        </w:numPr>
      </w:pPr>
      <w:r>
        <w:rPr/>
        <w:t xml:space="preserve">Maddə 9 (azadlıqdan məhrumetmə – arbitrar olmama, məhkəmə nəzarəti)</w:t>
      </w:r>
    </w:p>
    <w:p>
      <w:pPr>
        <w:numPr>
          <w:ilvl w:val="0"/>
          <w:numId w:val="1"/>
        </w:numPr>
      </w:pPr>
      <w:r>
        <w:rPr/>
        <w:t xml:space="preserve">Maddə 14 (ədalətli məhkəmə, effektiv iştirak)</w:t>
      </w:r>
    </w:p>
    <w:p>
      <w:pPr>
        <w:numPr>
          <w:ilvl w:val="0"/>
          <w:numId w:val="1"/>
        </w:numPr>
      </w:pPr>
      <w:r>
        <w:rPr/>
        <w:t xml:space="preserve">Maddə 2(3) (effektiv hüquqi vasitə və reparasiya)</w:t>
      </w:r>
    </w:p>
    <w:p>
      <w:pPr>
        <w:numPr>
          <w:ilvl w:val="0"/>
          <w:numId w:val="1"/>
        </w:numPr>
      </w:pPr>
      <w:r>
        <w:rPr/>
        <w:t xml:space="preserve">Maddə 26 (bərabərlik və ayrı-seçkilik qadağası)</w:t>
      </w:r>
    </w:p>
    <w:p>
      <w:pPr/>
      <w:r>
        <w:rPr/>
        <w:t xml:space="preserve">İcraedici standart (iş nömrəsi + tarix):</w:t>
      </w:r>
    </w:p>
    <w:p>
      <w:pPr>
        <w:numPr>
          <w:ilvl w:val="0"/>
          <w:numId w:val="1"/>
        </w:numPr>
      </w:pPr>
      <w:r>
        <w:rPr/>
        <w:t xml:space="preserve">BMT İnsan Hüquqları Komitəsi, General Comment No. 31,</w:t>
      </w:r>
    </w:p>
    <w:p>
      <w:pPr/>
      <w:r>
        <w:rPr/>
        <w:t xml:space="preserve">CCPR/C/21/Rev.1/Add.13, sənəd tarixi 26.05.2004 (effektiv vasitə və reparasiya</w:t>
      </w:r>
    </w:p>
    <w:p>
      <w:pPr/>
      <w:r>
        <w:rPr/>
        <w:t xml:space="preserve">öhdəliyi).</w:t>
      </w:r>
    </w:p>
    <w:p>
      <w:pPr>
        <w:numPr>
          <w:ilvl w:val="0"/>
          <w:numId w:val="1"/>
        </w:numPr>
      </w:pPr>
      <w:r>
        <w:rPr/>
        <w:t xml:space="preserve">İmmiqrasiya saxlanması üzrə nümunə qərar: A v. Australia, Comm. No. 560/1993,</w:t>
      </w:r>
    </w:p>
    <w:p>
      <w:pPr/>
      <w:r>
        <w:rPr/>
        <w:t xml:space="preserve">Views 03.04.1997 (ICCPR Maddə 9 – arbitrar saxlanma anlayışı).</w:t>
      </w:r>
    </w:p>
    <w:p>
      <w:pPr/>
      <w:r>
        <w:rPr/>
        <w:t xml:space="preserve">Almaniya üçün fərdi şikayət yolu (işlək mexanizm): Almaniya ICCPR-in Birinci</w:t>
      </w:r>
    </w:p>
    <w:p>
      <w:pPr/>
      <w:r>
        <w:rPr/>
        <w:t xml:space="preserve">Fakültativ Protokoluna qoşulub (fərdi şikayət mümkündür).</w:t>
      </w:r>
    </w:p>
    <w:p>
      <w:pPr>
        <w:numPr>
          <w:ilvl w:val="0"/>
          <w:numId w:val="1"/>
        </w:numPr>
      </w:pPr>
      <w:r>
        <w:rPr/>
        <w:t xml:space="preserve">CAT (İşgəncəyə Qarşı Konvensiya)</w:t>
      </w:r>
    </w:p>
    <w:p>
      <w:pPr>
        <w:numPr>
          <w:ilvl w:val="0"/>
          <w:numId w:val="1"/>
        </w:numPr>
      </w:pPr>
      <w:r>
        <w:rPr/>
        <w:t xml:space="preserve">Maddə 2 (işgəncənin qarşısının alınması)</w:t>
      </w:r>
    </w:p>
    <w:p>
      <w:pPr>
        <w:numPr>
          <w:ilvl w:val="0"/>
          <w:numId w:val="1"/>
        </w:numPr>
      </w:pPr>
      <w:r>
        <w:rPr/>
        <w:t xml:space="preserve">Maddə 12 (işgəncə iddialarının dərhal və qərəzsiz araşdırılması)</w:t>
      </w:r>
    </w:p>
    <w:p>
      <w:pPr>
        <w:numPr>
          <w:ilvl w:val="0"/>
          <w:numId w:val="1"/>
        </w:numPr>
      </w:pPr>
      <w:r>
        <w:rPr/>
        <w:t xml:space="preserve">Maddə 13 (şikayət vermək və qorunma)</w:t>
      </w:r>
    </w:p>
    <w:p>
      <w:pPr>
        <w:numPr>
          <w:ilvl w:val="0"/>
          <w:numId w:val="1"/>
        </w:numPr>
      </w:pPr>
      <w:r>
        <w:rPr/>
        <w:t xml:space="preserve">Maddə 14 (reparasiya/kompensasiya)</w:t>
      </w:r>
    </w:p>
    <w:p>
      <w:pPr>
        <w:numPr>
          <w:ilvl w:val="0"/>
          <w:numId w:val="1"/>
        </w:numPr>
      </w:pPr>
      <w:r>
        <w:rPr/>
        <w:t xml:space="preserve">Maddə 16 (digər qəddar, qeyri-insani rəftarın qarşısı)</w:t>
      </w:r>
    </w:p>
    <w:p>
      <w:pPr/>
      <w:r>
        <w:rPr/>
        <w:t xml:space="preserve">Almaniya üçün fərdi şikayət: Almaniya CAT Maddə 22 prosedurunu qəbul edib (fərdi</w:t>
      </w:r>
    </w:p>
    <w:p>
      <w:pPr/>
      <w:r>
        <w:rPr/>
        <w:t xml:space="preserve">şikayət mümkündür).</w:t>
      </w:r>
    </w:p>
    <w:p>
      <w:pPr>
        <w:numPr>
          <w:ilvl w:val="0"/>
          <w:numId w:val="1"/>
        </w:numPr>
      </w:pPr>
      <w:r>
        <w:rPr/>
        <w:t xml:space="preserve">CRPD (Əlillərin Hüquqları Konvensiyası) – əlillik ayrı-seçkiliyi və</w:t>
      </w:r>
    </w:p>
    <w:p>
      <w:pPr/>
      <w:r>
        <w:rPr/>
        <w:t xml:space="preserve">“reasonable accommodation”</w:t>
      </w:r>
    </w:p>
    <w:p>
      <w:pPr/>
      <w:r>
        <w:rPr/>
        <w:t xml:space="preserve">Bu sənədlərdəki hadisələrin bir qismi 2009-dan əvvəldir, amma davam edən nəticələr</w:t>
      </w:r>
    </w:p>
    <w:p>
      <w:pPr/>
      <w:r>
        <w:rPr/>
        <w:t xml:space="preserve">(qəyyumluq, icra, prosedur əlçatanlığı) CRPD çərçivəsində ayrıca qaldırıla bilər.</w:t>
      </w:r>
    </w:p>
    <w:p>
      <w:pPr>
        <w:numPr>
          <w:ilvl w:val="0"/>
          <w:numId w:val="1"/>
        </w:numPr>
      </w:pPr>
      <w:r>
        <w:rPr/>
        <w:t xml:space="preserve">Maddə 5 (bərabərlik və ayrı-seçkilik qadağası)</w:t>
      </w:r>
    </w:p>
    <w:p>
      <w:pPr>
        <w:numPr>
          <w:ilvl w:val="0"/>
          <w:numId w:val="1"/>
        </w:numPr>
      </w:pPr>
      <w:r>
        <w:rPr/>
        <w:t xml:space="preserve">Maddə 12 (hüquqi qabiliyyətin bərabər tanınması; dəstəkli qərarvermə)</w:t>
      </w:r>
    </w:p>
    <w:p>
      <w:pPr>
        <w:numPr>
          <w:ilvl w:val="0"/>
          <w:numId w:val="1"/>
        </w:numPr>
      </w:pPr>
      <w:r>
        <w:rPr/>
        <w:t xml:space="preserve">Maddə 13 (məhkəməyə çıxış; prosedur uyğunlaşdırmaları)</w:t>
      </w:r>
    </w:p>
    <w:p>
      <w:pPr>
        <w:numPr>
          <w:ilvl w:val="0"/>
          <w:numId w:val="1"/>
        </w:numPr>
      </w:pPr>
      <w:r>
        <w:rPr/>
        <w:t xml:space="preserve">Maddə 14–16 (azadlıq, işgəncədən qorunma, zorakılıqdan qorunma)</w:t>
      </w:r>
    </w:p>
    <w:p>
      <w:pPr/>
      <w:r>
        <w:rPr/>
        <w:t xml:space="preserve">İzahverici sənəd (iş nömrəsi + tarix):</w:t>
      </w:r>
    </w:p>
    <w:p>
      <w:pPr>
        <w:numPr>
          <w:ilvl w:val="0"/>
          <w:numId w:val="1"/>
        </w:numPr>
      </w:pPr>
      <w:r>
        <w:rPr/>
        <w:t xml:space="preserve">CRPD Komitəsi, General Comment No. 1 (Article 12), simvol CRPD/C/GC/1, qəbul</w:t>
      </w:r>
    </w:p>
    <w:p>
      <w:pPr/>
      <w:r>
        <w:rPr/>
        <w:t xml:space="preserve">11.04.2014 (dəstək və hüquqi agentlik).</w:t>
      </w:r>
    </w:p>
    <w:p>
      <w:pPr/>
      <w:r>
        <w:rPr/>
        <w:t xml:space="preserve">Almaniya üçün fərdi şikayət: CRPD-nin Optional Protocol-unu ratifikasiya edib (fərdi</w:t>
      </w:r>
    </w:p>
    <w:p>
      <w:pPr/>
      <w:r>
        <w:rPr/>
        <w:t xml:space="preserve">şikayət mümkündür).</w:t>
      </w:r>
    </w:p>
    <w:p>
      <w:pPr/>
      <w:r>
        <w:rPr/>
        <w:t xml:space="preserve">E. Dövlət məsuliyyəti necə “işə düşür” (international law)</w:t>
      </w:r>
    </w:p>
    <w:p>
      <w:pPr>
        <w:numPr>
          <w:ilvl w:val="0"/>
          <w:numId w:val="1"/>
        </w:numPr>
      </w:pPr>
      <w:r>
        <w:rPr/>
        <w:t xml:space="preserve">Atribusiya (kimin hərəkəti dövlətə aid edilir?)</w:t>
      </w:r>
    </w:p>
    <w:p>
      <w:pPr>
        <w:numPr>
          <w:ilvl w:val="0"/>
          <w:numId w:val="1"/>
        </w:numPr>
      </w:pPr>
      <w:r>
        <w:rPr/>
        <w:t xml:space="preserve">Polis, prokurorluq, məhkəmələr – dövlət orqanlarıdır; onların hərəkətləri və</w:t>
      </w:r>
    </w:p>
    <w:p>
      <w:pPr/>
      <w:r>
        <w:rPr/>
        <w:t xml:space="preserve">hərəkətsizlikləri dövlətə aid edilir.</w:t>
      </w:r>
    </w:p>
    <w:p>
      <w:pPr>
        <w:numPr>
          <w:ilvl w:val="0"/>
          <w:numId w:val="1"/>
        </w:numPr>
      </w:pPr>
      <w:r>
        <w:rPr/>
        <w:t xml:space="preserve">Qəyyumluq (Betreuung) mexanizmi dövlət tərəfindən təyin və nəzarət edilirsə, ən azı</w:t>
      </w:r>
    </w:p>
    <w:p>
      <w:pPr/>
      <w:r>
        <w:rPr/>
        <w:t xml:space="preserve">dövlətin müsbət öhdəliyi yaranır: real nəzarət, effektiv şikayət, zərərin qarşısı.</w:t>
      </w:r>
    </w:p>
    <w:p>
      <w:pPr>
        <w:numPr>
          <w:ilvl w:val="0"/>
          <w:numId w:val="1"/>
        </w:numPr>
      </w:pPr>
      <w:r>
        <w:rPr/>
        <w:t xml:space="preserve">“Daxili hüquqla bəraət yoxdur”</w:t>
      </w:r>
    </w:p>
    <w:p>
      <w:pPr/>
      <w:r>
        <w:rPr/>
        <w:t xml:space="preserve">Dövlət daxili qanunlara/inzibati rutinə istinad edib beynəlxalq öhdəliklərin pozulmasını</w:t>
      </w:r>
    </w:p>
    <w:p>
      <w:pPr/>
      <w:r>
        <w:rPr/>
        <w:t xml:space="preserve">əsaslandıra bilməz (state responsibility məntiqi).</w:t>
      </w:r>
    </w:p>
    <w:p>
      <w:pPr/>
      <w:r>
        <w:rPr/>
        <w:t xml:space="preserve">F. Niyə daxili hüquqi vasitələr “effektiv deyil” arqumenti qurula bilər (bu 3 PDF</w:t>
      </w:r>
    </w:p>
    <w:p>
      <w:pPr/>
      <w:r>
        <w:rPr/>
        <w:t xml:space="preserve">əsasında)</w:t>
      </w:r>
    </w:p>
    <w:p>
      <w:pPr/>
      <w:r>
        <w:rPr/>
        <w:t xml:space="preserve">Bu sənədlər əsasında ən güclü xətt belə görünür:</w:t>
      </w:r>
    </w:p>
    <w:p>
      <w:pPr>
        <w:numPr>
          <w:ilvl w:val="0"/>
          <w:numId w:val="1"/>
        </w:numPr>
      </w:pPr>
      <w:r>
        <w:rPr/>
        <w:t xml:space="preserve">Dil/ünsiyyət baryeri: 08.08.1998 qərarında “adekvat ünsiyyət yoxdur” ifadəsi</w:t>
      </w:r>
    </w:p>
    <w:p>
      <w:pPr/>
      <w:r>
        <w:rPr/>
        <w:t xml:space="preserve">– ilkin mərhələdə prosedur zəmanətlərin “praktik” işləməməsi arqumenti.</w:t>
      </w:r>
    </w:p>
    <w:p>
      <w:pPr>
        <w:numPr>
          <w:ilvl w:val="0"/>
          <w:numId w:val="1"/>
        </w:numPr>
      </w:pPr>
      <w:r>
        <w:rPr/>
        <w:t xml:space="preserve">Rüsum və formal maneələr: 1.368 EUR ödənmədən icraatın aparılmaması +</w:t>
      </w:r>
    </w:p>
    <w:p>
      <w:pPr/>
      <w:r>
        <w:rPr/>
        <w:t xml:space="preserve">sonradan 91.456 EUR kimi ağır maliyyə yükü – məhkəməyə çıxışın faktiki bloklanması</w:t>
      </w:r>
    </w:p>
    <w:p>
      <w:pPr/>
      <w:r>
        <w:rPr/>
        <w:t xml:space="preserve">iddiası.</w:t>
      </w:r>
    </w:p>
    <w:p>
      <w:pPr>
        <w:numPr>
          <w:ilvl w:val="0"/>
          <w:numId w:val="1"/>
        </w:numPr>
      </w:pPr>
      <w:r>
        <w:rPr/>
        <w:t xml:space="preserve">Qəyyumluqla real müdafiənin itməsi: qəyyumun “təmsil edəcəyəm” deməsi,</w:t>
      </w:r>
    </w:p>
    <w:p>
      <w:pPr/>
      <w:r>
        <w:rPr/>
        <w:t xml:space="preserve">amma iddiada PKH/rüsum/prosessual addımlar atılmaması barədə şikayət – əlilliyi olan</w:t>
      </w:r>
    </w:p>
    <w:p>
      <w:pPr/>
      <w:r>
        <w:rPr/>
        <w:t xml:space="preserve">şəxsin “effektiv iştirak” imkanının itməsi arqumenti.</w:t>
      </w:r>
    </w:p>
    <w:p>
      <w:pPr>
        <w:numPr>
          <w:ilvl w:val="0"/>
          <w:numId w:val="1"/>
        </w:numPr>
      </w:pPr>
      <w:r>
        <w:rPr/>
        <w:t xml:space="preserve">Zorakılıq iddialarında araşdırma: Belge 46 media məzmunu olsa da, belə</w:t>
      </w:r>
    </w:p>
    <w:p>
      <w:pPr/>
      <w:r>
        <w:rPr/>
        <w:t xml:space="preserve">iddialar üzrə dövlətin araşdırma öhdəliyi sərtdir (Maddə 3 prosedur).</w:t>
      </w:r>
    </w:p>
    <w:p>
      <w:pPr/>
      <w:r>
        <w:rPr/>
        <w:t xml:space="preserve">G. Beynəlxalq müraciət yolları (qanuni vasitələr)</w:t>
      </w:r>
    </w:p>
    <w:p>
      <w:pPr>
        <w:numPr>
          <w:ilvl w:val="0"/>
          <w:numId w:val="1"/>
        </w:numPr>
      </w:pPr>
      <w:r>
        <w:rPr/>
        <w:t xml:space="preserve">Avropa İnsan Hüquqları Məhkəməsi (ECtHR / Strasbourg)</w:t>
      </w:r>
    </w:p>
    <w:p>
      <w:pPr>
        <w:numPr>
          <w:ilvl w:val="0"/>
          <w:numId w:val="1"/>
        </w:numPr>
      </w:pPr>
      <w:r>
        <w:rPr/>
        <w:t xml:space="preserve">Şikayət ECHR Maddə 34 əsasında verilir.</w:t>
      </w:r>
    </w:p>
    <w:p>
      <w:pPr>
        <w:numPr>
          <w:ilvl w:val="0"/>
          <w:numId w:val="1"/>
        </w:numPr>
      </w:pPr>
      <w:r>
        <w:rPr/>
        <w:t xml:space="preserve">Ümumi şərtlər: daxili vasitələrin tükənməsi + son yekun qərardan 4 ay müddət.</w:t>
      </w:r>
    </w:p>
    <w:p>
      <w:pPr>
        <w:numPr>
          <w:ilvl w:val="0"/>
          <w:numId w:val="1"/>
        </w:numPr>
      </w:pPr>
      <w:r>
        <w:rPr/>
        <w:t xml:space="preserve">Əgər real və dərhal geri dönməz zərər riski varsa, Rule 39 interim measures nəzərdən</w:t>
      </w:r>
    </w:p>
    <w:p>
      <w:pPr/>
      <w:r>
        <w:rPr/>
        <w:t xml:space="preserve">keçirilə bilər (faktlar tələb edir).</w:t>
      </w:r>
    </w:p>
    <w:p>
      <w:pPr>
        <w:numPr>
          <w:ilvl w:val="0"/>
          <w:numId w:val="1"/>
        </w:numPr>
      </w:pPr>
      <w:r>
        <w:rPr/>
        <w:t xml:space="preserve">BMT İnsan Hüquqları Komitəsi (ICCPR – Optional Protocol)</w:t>
      </w:r>
    </w:p>
    <w:p>
      <w:pPr>
        <w:numPr>
          <w:ilvl w:val="0"/>
          <w:numId w:val="1"/>
        </w:numPr>
      </w:pPr>
      <w:r>
        <w:rPr/>
        <w:t xml:space="preserve">Almaniya OP-ICCPR iştirakçısıdır – fərdi şikayət mümkündür.</w:t>
      </w:r>
    </w:p>
    <w:p>
      <w:pPr>
        <w:numPr>
          <w:ilvl w:val="0"/>
          <w:numId w:val="1"/>
        </w:numPr>
      </w:pPr>
      <w:r>
        <w:rPr/>
        <w:t xml:space="preserve">Eyni məsələ başqa beynəlxalq prosedurda baxılırsa, qəbulolunmazlıq riski ola bilər.</w:t>
      </w:r>
    </w:p>
    <w:p>
      <w:pPr>
        <w:numPr>
          <w:ilvl w:val="0"/>
          <w:numId w:val="1"/>
        </w:numPr>
      </w:pPr>
      <w:r>
        <w:rPr/>
        <w:t xml:space="preserve">BMT İşgəncəyə Qarşı Komitə (CAT – Article 22)</w:t>
      </w:r>
    </w:p>
    <w:p>
      <w:pPr>
        <w:numPr>
          <w:ilvl w:val="0"/>
          <w:numId w:val="1"/>
        </w:numPr>
      </w:pPr>
      <w:r>
        <w:rPr/>
        <w:t xml:space="preserve">Almaniya CAT Maddə 22-ni qəbul edib – fərdi şikayət mümkündür.</w:t>
      </w:r>
    </w:p>
    <w:p>
      <w:pPr>
        <w:numPr>
          <w:ilvl w:val="0"/>
          <w:numId w:val="1"/>
        </w:numPr>
      </w:pPr>
      <w:r>
        <w:rPr/>
        <w:t xml:space="preserve">CRPD Komitəsi (Əlillərin Hüquqları – Optional Protocol)</w:t>
      </w:r>
    </w:p>
    <w:p>
      <w:pPr>
        <w:numPr>
          <w:ilvl w:val="0"/>
          <w:numId w:val="1"/>
        </w:numPr>
      </w:pPr>
      <w:r>
        <w:rPr/>
        <w:t xml:space="preserve">Almaniya CRPD OP-ni ratifikasiya edib – fərdi şikayət mümkündür.</w:t>
      </w:r>
    </w:p>
    <w:p>
      <w:pPr>
        <w:numPr>
          <w:ilvl w:val="0"/>
          <w:numId w:val="1"/>
        </w:numPr>
      </w:pPr>
      <w:r>
        <w:rPr/>
        <w:t xml:space="preserve">Aİ (EU) səviyyəsi (məhdud)</w:t>
      </w:r>
    </w:p>
    <w:p>
      <w:pPr>
        <w:numPr>
          <w:ilvl w:val="0"/>
          <w:numId w:val="1"/>
        </w:numPr>
      </w:pPr>
      <w:r>
        <w:rPr/>
        <w:t xml:space="preserve">EU Charter (məs., Maddə 47 effektiv vasitə, Maddə 21 ayrı-seçkilik, Maddə 26</w:t>
      </w:r>
    </w:p>
    <w:p>
      <w:pPr/>
      <w:r>
        <w:rPr/>
        <w:t xml:space="preserve">əlillərin inteqrasiyası) yalnız Almaniya orqanları Aİ hüququnu tətbiq edəndə birbaşa işə</w:t>
      </w:r>
    </w:p>
    <w:p>
      <w:pPr/>
      <w:r>
        <w:rPr/>
        <w:t xml:space="preserve">düşür.</w:t>
      </w:r>
    </w:p>
    <w:p>
      <w:pPr>
        <w:numPr>
          <w:ilvl w:val="0"/>
          <w:numId w:val="1"/>
        </w:numPr>
      </w:pPr>
      <w:r>
        <w:rPr/>
        <w:t xml:space="preserve">Bu halda, milli məhkəmədə EU hüququna istinad və lazım olsa CJEU-ya ilkin sorğu</w:t>
      </w:r>
    </w:p>
    <w:p>
      <w:pPr/>
      <w:r>
        <w:rPr/>
        <w:t xml:space="preserve">mexanizmi aktuallaşa bilər.</w:t>
      </w:r>
    </w:p>
    <w:sectPr>
      <w:pgSz w:orient="portrait" w:w="11905.511811023622" w:h="16837.79527559055"/>
      <w:pgMar w:top="1133.8582677165352" w:right="1133.8582677165352" w:bottom="1133.8582677165352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3740A5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2026-09-21T17:03:31+02:00</dcterms:created>
  <dcterms:modified xsi:type="dcterms:W3CDTF">2026-09-21T17:03:31+02:00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