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8027F2"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DOK – 2004</w:t>
      </w:r>
    </w:p>
    <w:p w14:paraId="58893F63"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2004 — İntihar cəhdindən sonra tibbi xəbərdarlıqlara baxmayaraq yardımın rədd edilməsi, davam edən aclıq və dərmansızlıq</w:t>
      </w:r>
    </w:p>
    <w:p w14:paraId="245195F4"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kern w:val="0"/>
          <w:sz w:val="22"/>
          <w:szCs w:val="22"/>
          <w14:ligatures w14:val="none"/>
        </w:rPr>
        <w:t xml:space="preserve">Əsas məhkəmə işi: </w:t>
      </w:r>
      <w:r w:rsidRPr="009C30EB">
        <w:rPr>
          <w:rFonts w:ascii="Times New Roman" w:hAnsi="Times New Roman" w:cs="Times New Roman"/>
          <w:b/>
          <w:bCs/>
          <w:kern w:val="0"/>
          <w:sz w:val="22"/>
          <w:szCs w:val="22"/>
          <w14:ligatures w14:val="none"/>
        </w:rPr>
        <w:t>Verwaltungsgericht Berlin — VG 32 A 77.04.</w:t>
      </w:r>
      <w:r w:rsidRPr="009C30EB">
        <w:rPr>
          <w:rFonts w:ascii="Times New Roman" w:hAnsi="Times New Roman" w:cs="Times New Roman"/>
          <w:kern w:val="0"/>
          <w:sz w:val="22"/>
          <w:szCs w:val="22"/>
          <w14:ligatures w14:val="none"/>
        </w:rPr>
        <w:t xml:space="preserve"> Əlaqəli işlər: </w:t>
      </w:r>
      <w:r w:rsidRPr="009C30EB">
        <w:rPr>
          <w:rFonts w:ascii="Times New Roman" w:hAnsi="Times New Roman" w:cs="Times New Roman"/>
          <w:b/>
          <w:bCs/>
          <w:kern w:val="0"/>
          <w:sz w:val="22"/>
          <w:szCs w:val="22"/>
          <w14:ligatures w14:val="none"/>
        </w:rPr>
        <w:t>VG 32 A 599.03 və VG 10 A 330.03.</w:t>
      </w:r>
    </w:p>
    <w:p w14:paraId="68F27513"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kern w:val="0"/>
          <w:sz w:val="22"/>
          <w:szCs w:val="22"/>
          <w14:ligatures w14:val="none"/>
        </w:rPr>
        <w:t>Bu qovluqda Charité-nin tibbi sənədləri, yardım müraciətlərim, dövlət orqanlarının cavabları, vəkil Harald Lilgenin məktubları və məhkəmə materialları yerləşdirilib. Onlar 7 yanvar 2004-cü il intihar cəhdindən sonra da yaşayış, qidalanma və müalicə üçün mübarizəyə məcbur qaldığımı göstərir. Bu, arxivimin yalnız kiçik bir hissəsidir.</w:t>
      </w:r>
    </w:p>
    <w:p w14:paraId="38824606"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Qovluqdakı əsas faktlar</w:t>
      </w:r>
    </w:p>
    <w:p w14:paraId="78C53223"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7 yanvar:</w:t>
      </w:r>
      <w:r w:rsidRPr="009C30EB">
        <w:rPr>
          <w:rFonts w:ascii="Times New Roman" w:eastAsia="Times New Roman" w:hAnsi="Times New Roman" w:cs="Times New Roman"/>
          <w:kern w:val="0"/>
          <w:sz w:val="22"/>
          <w:szCs w:val="22"/>
          <w14:ligatures w14:val="none"/>
        </w:rPr>
        <w:t xml:space="preserve"> Almaniya parlamenti qarşısında intihar cəhdindən sonra Charité-yə yerləşdirildim.</w:t>
      </w:r>
    </w:p>
    <w:p w14:paraId="40216060"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16 yanvar:</w:t>
      </w:r>
      <w:r w:rsidRPr="009C30EB">
        <w:rPr>
          <w:rFonts w:ascii="Times New Roman" w:eastAsia="Times New Roman" w:hAnsi="Times New Roman" w:cs="Times New Roman"/>
          <w:kern w:val="0"/>
          <w:sz w:val="22"/>
          <w:szCs w:val="22"/>
          <w14:ligatures w14:val="none"/>
        </w:rPr>
        <w:t xml:space="preserve"> Charité Sozialamt-a xəbərdarlıq etdi ki, yenidən yoxsulluq və evsizlik şəraitinə buraxılmağım vəziyyətimi ağırlaşdıra və təkrar intihar təhlükəsi yarada bilər.</w:t>
      </w:r>
    </w:p>
    <w:p w14:paraId="5B7B1FDC"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22 yanvar:</w:t>
      </w:r>
      <w:r w:rsidRPr="009C30EB">
        <w:rPr>
          <w:rFonts w:ascii="Times New Roman" w:eastAsia="Times New Roman" w:hAnsi="Times New Roman" w:cs="Times New Roman"/>
          <w:kern w:val="0"/>
          <w:sz w:val="22"/>
          <w:szCs w:val="22"/>
          <w14:ligatures w14:val="none"/>
        </w:rPr>
        <w:t xml:space="preserve"> Tibbi rəydə yüksək kəskin intihar təhlükəsi göstərildi. Eyni zamanda şüurumun aydın, istiqamətlənməmin tam, düşüncə ardıcıllığımın nizamlı olduğu; yaddaş və idrak çatışmazlıqlarının, məzmunlu düşüncə pozuntularının və duyğu yanılmalarının olmadığı yazıldı.</w:t>
      </w:r>
    </w:p>
    <w:p w14:paraId="1D8224B9"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29 yanvar və 3 fevral:</w:t>
      </w:r>
      <w:r w:rsidRPr="009C30EB">
        <w:rPr>
          <w:rFonts w:ascii="Times New Roman" w:eastAsia="Times New Roman" w:hAnsi="Times New Roman" w:cs="Times New Roman"/>
          <w:kern w:val="0"/>
          <w:sz w:val="22"/>
          <w:szCs w:val="22"/>
          <w14:ligatures w14:val="none"/>
        </w:rPr>
        <w:t xml:space="preserve"> Yardım əvvəlcə şifahi, sonra Raatschin yazılı qərarı ilə rədd edildi. Könüllü qayıdış üçün müraciəti təsdiqləyən sənəd tələb olundu.</w:t>
      </w:r>
    </w:p>
    <w:p w14:paraId="24C792F8"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30–31 yanvar:</w:t>
      </w:r>
      <w:r w:rsidRPr="009C30EB">
        <w:rPr>
          <w:rFonts w:ascii="Times New Roman" w:eastAsia="Times New Roman" w:hAnsi="Times New Roman" w:cs="Times New Roman"/>
          <w:kern w:val="0"/>
          <w:sz w:val="22"/>
          <w:szCs w:val="22"/>
          <w14:ligatures w14:val="none"/>
        </w:rPr>
        <w:t xml:space="preserve"> VwGO § 123 əsasında təcili yaşayış və qidalanma yardımı üçün məhkəməyə müraciət etdim. İş </w:t>
      </w:r>
      <w:r w:rsidRPr="009C30EB">
        <w:rPr>
          <w:rFonts w:ascii="Times New Roman" w:eastAsia="Times New Roman" w:hAnsi="Times New Roman" w:cs="Times New Roman"/>
          <w:b/>
          <w:bCs/>
          <w:kern w:val="0"/>
          <w:sz w:val="22"/>
          <w:szCs w:val="22"/>
          <w14:ligatures w14:val="none"/>
        </w:rPr>
        <w:t>VG 32 A 77.04</w:t>
      </w:r>
      <w:r w:rsidRPr="009C30EB">
        <w:rPr>
          <w:rFonts w:ascii="Times New Roman" w:eastAsia="Times New Roman" w:hAnsi="Times New Roman" w:cs="Times New Roman"/>
          <w:kern w:val="0"/>
          <w:sz w:val="22"/>
          <w:szCs w:val="22"/>
          <w14:ligatures w14:val="none"/>
        </w:rPr>
        <w:t xml:space="preserve"> nömrəsi ilə qeydə alındı. </w:t>
      </w:r>
      <w:r w:rsidRPr="009C30EB">
        <w:rPr>
          <w:rFonts w:ascii="Times New Roman" w:eastAsia="Times New Roman" w:hAnsi="Times New Roman" w:cs="Times New Roman"/>
          <w:b/>
          <w:bCs/>
          <w:kern w:val="0"/>
          <w:sz w:val="22"/>
          <w:szCs w:val="22"/>
          <w14:ligatures w14:val="none"/>
        </w:rPr>
        <w:t>9 fevralda</w:t>
      </w:r>
      <w:r w:rsidRPr="009C30EB">
        <w:rPr>
          <w:rFonts w:ascii="Times New Roman" w:eastAsia="Times New Roman" w:hAnsi="Times New Roman" w:cs="Times New Roman"/>
          <w:kern w:val="0"/>
          <w:sz w:val="22"/>
          <w:szCs w:val="22"/>
          <w14:ligatures w14:val="none"/>
        </w:rPr>
        <w:t xml:space="preserve"> Bezirksamt ərizəmin rəddini tələb etdi.</w:t>
      </w:r>
    </w:p>
    <w:p w14:paraId="175DEBB1"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9 fevral:</w:t>
      </w:r>
      <w:r w:rsidRPr="009C30EB">
        <w:rPr>
          <w:rFonts w:ascii="Times New Roman" w:eastAsia="Times New Roman" w:hAnsi="Times New Roman" w:cs="Times New Roman"/>
          <w:kern w:val="0"/>
          <w:sz w:val="22"/>
          <w:szCs w:val="22"/>
          <w14:ligatures w14:val="none"/>
        </w:rPr>
        <w:t xml:space="preserve"> İdarənin daxili qeydində həyatım və sağlamlığım üçün təhlükə olmadan qayıda biləcəyim yazıldı. Bu mövqe Charité-nin təkrar intihar təhlükəsi barədə xəbərdarlığı ilə ciddi ziddiyyət təşkil edirdi.</w:t>
      </w:r>
    </w:p>
    <w:p w14:paraId="0927B69A"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26 fevral:</w:t>
      </w:r>
      <w:r w:rsidRPr="009C30EB">
        <w:rPr>
          <w:rFonts w:ascii="Times New Roman" w:eastAsia="Times New Roman" w:hAnsi="Times New Roman" w:cs="Times New Roman"/>
          <w:kern w:val="0"/>
          <w:sz w:val="22"/>
          <w:szCs w:val="22"/>
          <w14:ligatures w14:val="none"/>
        </w:rPr>
        <w:t xml:space="preserve"> Lilge heç vaxt vətənə qayıtmayacağım barədə mənə aid edilmiş ifadəni təkzib etdi. Əsl mövqeyimin Almaniyada hüquqi müdafiə imkanlarından sona qədər istifadə etmək olduğunu bildirdi.</w:t>
      </w:r>
    </w:p>
    <w:p w14:paraId="5394E87E"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26 fevral:</w:t>
      </w:r>
      <w:r w:rsidRPr="009C30EB">
        <w:rPr>
          <w:rFonts w:ascii="Times New Roman" w:eastAsia="Times New Roman" w:hAnsi="Times New Roman" w:cs="Times New Roman"/>
          <w:kern w:val="0"/>
          <w:sz w:val="22"/>
          <w:szCs w:val="22"/>
          <w14:ligatures w14:val="none"/>
        </w:rPr>
        <w:t xml:space="preserve"> Vəkil bütün yardımın rəddini açıq şəkildə konstitusiyaya zidd qiymətləndirdi. Gündəlik necə sağ qaldığımı sübut etmək tələbini qeyri-mütənasib və yerinə yetirilməsi mümkün olmayan tələb adlandırdı. Hansı zibil qabından yemək götürdüyümü göstərməyi tələb etməyin absurd olduğunu yazdı.</w:t>
      </w:r>
    </w:p>
    <w:p w14:paraId="12A80C9B"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22 mart:</w:t>
      </w:r>
      <w:r w:rsidRPr="009C30EB">
        <w:rPr>
          <w:rFonts w:ascii="Times New Roman" w:eastAsia="Times New Roman" w:hAnsi="Times New Roman" w:cs="Times New Roman"/>
          <w:kern w:val="0"/>
          <w:sz w:val="22"/>
          <w:szCs w:val="22"/>
          <w14:ligatures w14:val="none"/>
        </w:rPr>
        <w:t xml:space="preserve"> Lilge yaşayış sənədinin yalnız </w:t>
      </w:r>
      <w:r w:rsidRPr="009C30EB">
        <w:rPr>
          <w:rFonts w:ascii="Times New Roman" w:eastAsia="Times New Roman" w:hAnsi="Times New Roman" w:cs="Times New Roman"/>
          <w:b/>
          <w:bCs/>
          <w:kern w:val="0"/>
          <w:sz w:val="22"/>
          <w:szCs w:val="22"/>
          <w14:ligatures w14:val="none"/>
        </w:rPr>
        <w:t>23 apreldə</w:t>
      </w:r>
      <w:r w:rsidRPr="009C30EB">
        <w:rPr>
          <w:rFonts w:ascii="Times New Roman" w:eastAsia="Times New Roman" w:hAnsi="Times New Roman" w:cs="Times New Roman"/>
          <w:kern w:val="0"/>
          <w:sz w:val="22"/>
          <w:szCs w:val="22"/>
          <w14:ligatures w14:val="none"/>
        </w:rPr>
        <w:t xml:space="preserve"> veriləcəyini, həmin vaxta qədər isə yaşamalı olduğumu bildirdi. Pulqabımda təxminən </w:t>
      </w:r>
      <w:r w:rsidRPr="009C30EB">
        <w:rPr>
          <w:rFonts w:ascii="Times New Roman" w:eastAsia="Times New Roman" w:hAnsi="Times New Roman" w:cs="Times New Roman"/>
          <w:b/>
          <w:bCs/>
          <w:kern w:val="0"/>
          <w:sz w:val="22"/>
          <w:szCs w:val="22"/>
          <w14:ligatures w14:val="none"/>
        </w:rPr>
        <w:t>bir avro</w:t>
      </w:r>
      <w:r w:rsidRPr="009C30EB">
        <w:rPr>
          <w:rFonts w:ascii="Times New Roman" w:eastAsia="Times New Roman" w:hAnsi="Times New Roman" w:cs="Times New Roman"/>
          <w:kern w:val="0"/>
          <w:sz w:val="22"/>
          <w:szCs w:val="22"/>
          <w14:ligatures w14:val="none"/>
        </w:rPr>
        <w:t xml:space="preserve"> qaldığını yazdı. Əsas iddianın geri götürülməsi təcili yardım tələbindən imtina demək deyildi.</w:t>
      </w:r>
    </w:p>
    <w:p w14:paraId="53F86030"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31 mart:</w:t>
      </w:r>
      <w:r w:rsidRPr="009C30EB">
        <w:rPr>
          <w:rFonts w:ascii="Times New Roman" w:eastAsia="Times New Roman" w:hAnsi="Times New Roman" w:cs="Times New Roman"/>
          <w:kern w:val="0"/>
          <w:sz w:val="22"/>
          <w:szCs w:val="22"/>
          <w14:ligatures w14:val="none"/>
        </w:rPr>
        <w:t xml:space="preserve"> Vəkil zibil konteynerlərindən yemək axtardığımı və təcili dərmanları ala bilmədiyimi məhkəməyə bildirdi. İki aydır davam edən prosesdə təcili qərar tələb etdi.</w:t>
      </w:r>
    </w:p>
    <w:p w14:paraId="7A8EEF05" w14:textId="77777777" w:rsidR="00EC0725" w:rsidRPr="009C30EB" w:rsidRDefault="00EC0725" w:rsidP="008F5F5A">
      <w:pPr>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14 aprel:</w:t>
      </w:r>
      <w:r w:rsidRPr="009C30EB">
        <w:rPr>
          <w:rFonts w:ascii="Times New Roman" w:eastAsia="Times New Roman" w:hAnsi="Times New Roman" w:cs="Times New Roman"/>
          <w:kern w:val="0"/>
          <w:sz w:val="22"/>
          <w:szCs w:val="22"/>
          <w14:ligatures w14:val="none"/>
        </w:rPr>
        <w:t xml:space="preserve"> Yardım yalnız sonradan, </w:t>
      </w:r>
      <w:r w:rsidRPr="009C30EB">
        <w:rPr>
          <w:rFonts w:ascii="Times New Roman" w:eastAsia="Times New Roman" w:hAnsi="Times New Roman" w:cs="Times New Roman"/>
          <w:b/>
          <w:bCs/>
          <w:kern w:val="0"/>
          <w:sz w:val="22"/>
          <w:szCs w:val="22"/>
          <w14:ligatures w14:val="none"/>
        </w:rPr>
        <w:t>31 yanvardan geriyə hesablanaraq</w:t>
      </w:r>
      <w:r w:rsidRPr="009C30EB">
        <w:rPr>
          <w:rFonts w:ascii="Times New Roman" w:eastAsia="Times New Roman" w:hAnsi="Times New Roman" w:cs="Times New Roman"/>
          <w:kern w:val="0"/>
          <w:sz w:val="22"/>
          <w:szCs w:val="22"/>
          <w14:ligatures w14:val="none"/>
        </w:rPr>
        <w:t xml:space="preserve"> təyin edildi: yanvar üçün </w:t>
      </w:r>
      <w:r w:rsidRPr="009C30EB">
        <w:rPr>
          <w:rFonts w:ascii="Times New Roman" w:eastAsia="Times New Roman" w:hAnsi="Times New Roman" w:cs="Times New Roman"/>
          <w:b/>
          <w:bCs/>
          <w:kern w:val="0"/>
          <w:sz w:val="22"/>
          <w:szCs w:val="22"/>
          <w14:ligatures w14:val="none"/>
        </w:rPr>
        <w:t>5,13 avro</w:t>
      </w:r>
      <w:r w:rsidRPr="009C30EB">
        <w:rPr>
          <w:rFonts w:ascii="Times New Roman" w:eastAsia="Times New Roman" w:hAnsi="Times New Roman" w:cs="Times New Roman"/>
          <w:kern w:val="0"/>
          <w:sz w:val="22"/>
          <w:szCs w:val="22"/>
          <w14:ligatures w14:val="none"/>
        </w:rPr>
        <w:t xml:space="preserve">, fevraldan aylıq </w:t>
      </w:r>
      <w:r w:rsidRPr="009C30EB">
        <w:rPr>
          <w:rFonts w:ascii="Times New Roman" w:eastAsia="Times New Roman" w:hAnsi="Times New Roman" w:cs="Times New Roman"/>
          <w:b/>
          <w:bCs/>
          <w:kern w:val="0"/>
          <w:sz w:val="22"/>
          <w:szCs w:val="22"/>
          <w14:ligatures w14:val="none"/>
        </w:rPr>
        <w:t>154,07 avro</w:t>
      </w:r>
      <w:r w:rsidRPr="009C30EB">
        <w:rPr>
          <w:rFonts w:ascii="Times New Roman" w:eastAsia="Times New Roman" w:hAnsi="Times New Roman" w:cs="Times New Roman"/>
          <w:kern w:val="0"/>
          <w:sz w:val="22"/>
          <w:szCs w:val="22"/>
          <w14:ligatures w14:val="none"/>
        </w:rPr>
        <w:t xml:space="preserve">, ümumilikdə </w:t>
      </w:r>
      <w:r w:rsidRPr="009C30EB">
        <w:rPr>
          <w:rFonts w:ascii="Times New Roman" w:eastAsia="Times New Roman" w:hAnsi="Times New Roman" w:cs="Times New Roman"/>
          <w:b/>
          <w:bCs/>
          <w:kern w:val="0"/>
          <w:sz w:val="22"/>
          <w:szCs w:val="22"/>
          <w14:ligatures w14:val="none"/>
        </w:rPr>
        <w:t>467,34 avro</w:t>
      </w:r>
      <w:r w:rsidRPr="009C30EB">
        <w:rPr>
          <w:rFonts w:ascii="Times New Roman" w:eastAsia="Times New Roman" w:hAnsi="Times New Roman" w:cs="Times New Roman"/>
          <w:kern w:val="0"/>
          <w:sz w:val="22"/>
          <w:szCs w:val="22"/>
          <w14:ligatures w14:val="none"/>
        </w:rPr>
        <w:t xml:space="preserve"> geriyə ödəniş.</w:t>
      </w:r>
    </w:p>
    <w:p w14:paraId="58748DFF"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kern w:val="0"/>
          <w:sz w:val="22"/>
          <w:szCs w:val="22"/>
          <w14:ligatures w14:val="none"/>
        </w:rPr>
        <w:t xml:space="preserve">Sonrakı yaşayış yerim aylıq 150 avroluq, ağır vəziyyətdə olan bina idi. Qırılmış qapılar, siçovullar və küçədən topladığım əşyalar arasında yaşadığımı bildirirəm. </w:t>
      </w:r>
      <w:r w:rsidRPr="009C30EB">
        <w:rPr>
          <w:rFonts w:ascii="Times New Roman" w:hAnsi="Times New Roman" w:cs="Times New Roman"/>
          <w:b/>
          <w:bCs/>
          <w:kern w:val="0"/>
          <w:sz w:val="22"/>
          <w:szCs w:val="22"/>
          <w14:ligatures w14:val="none"/>
        </w:rPr>
        <w:t>2005-ci ilin sosial dəstək sənədləri və 2007-ci ilin qəyyumluq qərarı ayrıca tarixlərə aiddir; onlar 2004-cü il qərarları kimi göstərilməməlidir.</w:t>
      </w:r>
    </w:p>
    <w:p w14:paraId="0A786128"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Pozulduğunu iddia etdiyim hüquqlar və məsuliyyətin hüquqi əsasları</w:t>
      </w:r>
    </w:p>
    <w:p w14:paraId="4733F620"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lastRenderedPageBreak/>
        <w:t>Almaniya Əsas Qanunu, maddələr 1(1), 1(3), 2(1), 2(2), 19(4), 20(1), 20(3):</w:t>
      </w:r>
      <w:r w:rsidRPr="009C30EB">
        <w:rPr>
          <w:rFonts w:ascii="Times New Roman" w:eastAsia="Times New Roman" w:hAnsi="Times New Roman" w:cs="Times New Roman"/>
          <w:kern w:val="0"/>
          <w:sz w:val="22"/>
          <w:szCs w:val="22"/>
          <w14:ligatures w14:val="none"/>
        </w:rPr>
        <w:t xml:space="preserve"> insan ləyaqəti, şəxsi müstəqillik, həyat və sağlamlığın qorunması, təsirli məhkəmə müdafiəsi, sosial dövlət prinsipi və dövlət orqanlarının qanuna bağlılığı. </w:t>
      </w:r>
    </w:p>
    <w:p w14:paraId="2F76051D"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AsylbLG §§ 3 və 4, həmin dövrdə qüvvədə olan § 1a ilə birlikdə:</w:t>
      </w:r>
      <w:r w:rsidRPr="009C30EB">
        <w:rPr>
          <w:rFonts w:ascii="Times New Roman" w:eastAsia="Times New Roman" w:hAnsi="Times New Roman" w:cs="Times New Roman"/>
          <w:kern w:val="0"/>
          <w:sz w:val="22"/>
          <w:szCs w:val="22"/>
          <w14:ligatures w14:val="none"/>
        </w:rPr>
        <w:t xml:space="preserve"> əsas dolanışıq və zəruri tibbi yardım; </w:t>
      </w:r>
      <w:r w:rsidRPr="009C30EB">
        <w:rPr>
          <w:rFonts w:ascii="Times New Roman" w:eastAsia="Times New Roman" w:hAnsi="Times New Roman" w:cs="Times New Roman"/>
          <w:b/>
          <w:bCs/>
          <w:kern w:val="0"/>
          <w:sz w:val="22"/>
          <w:szCs w:val="22"/>
          <w14:ligatures w14:val="none"/>
        </w:rPr>
        <w:t>VwGO §§ 86(1) və 123:</w:t>
      </w:r>
      <w:r w:rsidRPr="009C30EB">
        <w:rPr>
          <w:rFonts w:ascii="Times New Roman" w:eastAsia="Times New Roman" w:hAnsi="Times New Roman" w:cs="Times New Roman"/>
          <w:kern w:val="0"/>
          <w:sz w:val="22"/>
          <w:szCs w:val="22"/>
          <w14:ligatures w14:val="none"/>
        </w:rPr>
        <w:t xml:space="preserve"> faktların məhkəmə tərəfindən araşdırılması və təcili müvəqqəti müdafiə. Hadisələr 2004-cü ildə qüvvədə olan redaksiyalar üzrə qiymətləndirilməlidir. </w:t>
      </w:r>
    </w:p>
    <w:p w14:paraId="5DAEFB0E"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Əsas Qanun, maddə 34:</w:t>
      </w:r>
      <w:r w:rsidRPr="009C30EB">
        <w:rPr>
          <w:rFonts w:ascii="Times New Roman" w:eastAsia="Times New Roman" w:hAnsi="Times New Roman" w:cs="Times New Roman"/>
          <w:kern w:val="0"/>
          <w:sz w:val="22"/>
          <w:szCs w:val="22"/>
          <w14:ligatures w14:val="none"/>
        </w:rPr>
        <w:t xml:space="preserve"> xidməti öhdəliyin pozulmasından yaranan zərərə görə, bir qayda olaraq, dövlətin və ya müvafiq dövlət qurumunun məsuliyyəti. Bu, fərdi cinayət məsuliyyətindən ayrıca məsuliyyət əsasıdır. </w:t>
      </w:r>
    </w:p>
    <w:p w14:paraId="1CE239E8"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Avropa İnsan Hüquqları Konvensiyası, maddələr 2, 3, 8 və 13:</w:t>
      </w:r>
      <w:r w:rsidRPr="009C30EB">
        <w:rPr>
          <w:rFonts w:ascii="Times New Roman" w:eastAsia="Times New Roman" w:hAnsi="Times New Roman" w:cs="Times New Roman"/>
          <w:kern w:val="0"/>
          <w:sz w:val="22"/>
          <w:szCs w:val="22"/>
          <w14:ligatures w14:val="none"/>
        </w:rPr>
        <w:t xml:space="preserve"> həyatın qorunması, işgəncə və qeyri-insani və ya alçaldıcı rəftarın qadağan edilməsi, fiziki və psixi bütövlük, səmərəli hüquqi müdafiə. </w:t>
      </w:r>
    </w:p>
    <w:p w14:paraId="2DD42963"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Mülki və Siyasi Hüquqlar haqqında Beynəlxalq Pakt, maddələr 6, 7 və 2(3); İqtisadi, Sosial və Mədəni Hüquqlar haqqında Beynəlxalq Pakt, maddələr 11 və 12:</w:t>
      </w:r>
      <w:r w:rsidRPr="009C30EB">
        <w:rPr>
          <w:rFonts w:ascii="Times New Roman" w:eastAsia="Times New Roman" w:hAnsi="Times New Roman" w:cs="Times New Roman"/>
          <w:kern w:val="0"/>
          <w:sz w:val="22"/>
          <w:szCs w:val="22"/>
          <w14:ligatures w14:val="none"/>
        </w:rPr>
        <w:t xml:space="preserve"> həyat, ağır rəftardan qorunma, səmərəli müdafiə, adekvat yaşayış şəraiti və sağlamlıq hüququ. </w:t>
      </w:r>
    </w:p>
    <w:p w14:paraId="3F4485F8"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BMT-nin İşgəncələrə qarşı Konvensiyası, maddələr 12, 13 və 16:</w:t>
      </w:r>
      <w:r w:rsidRPr="009C30EB">
        <w:rPr>
          <w:rFonts w:ascii="Times New Roman" w:eastAsia="Times New Roman" w:hAnsi="Times New Roman" w:cs="Times New Roman"/>
          <w:kern w:val="0"/>
          <w:sz w:val="22"/>
          <w:szCs w:val="22"/>
          <w14:ligatures w14:val="none"/>
        </w:rPr>
        <w:t xml:space="preserve"> müvafiq rəftar barədə əsaslı iddiaların təxirəsalınmaz və qərəzsiz araşdırılması, şikayətçinin qorunması və digər qəddar, qeyri-insani və ya alçaldıcı rəftarın qarşısının alınması. </w:t>
      </w:r>
    </w:p>
    <w:p w14:paraId="42D44E1D"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Beynəlxalq Hüquq Komissiyasının dövlət məsuliyyəti haqqında maddələri, xüsusilə 4 və 7:</w:t>
      </w:r>
      <w:r w:rsidRPr="009C30EB">
        <w:rPr>
          <w:rFonts w:ascii="Times New Roman" w:eastAsia="Times New Roman" w:hAnsi="Times New Roman" w:cs="Times New Roman"/>
          <w:kern w:val="0"/>
          <w:sz w:val="22"/>
          <w:szCs w:val="22"/>
          <w14:ligatures w14:val="none"/>
        </w:rPr>
        <w:t xml:space="preserve"> dövlət orqanlarının, o cümlədən məhkəmələrin xidməti davranışının dövlətə aid edilməsi; bu davranış beynəlxalq öhdəliyi pozduqda dövlət məsuliyyətinin yaranması. </w:t>
      </w:r>
    </w:p>
    <w:p w14:paraId="65C59243" w14:textId="77777777" w:rsidR="00EC0725" w:rsidRPr="009C30EB" w:rsidRDefault="00EC0725" w:rsidP="008F5F5A">
      <w:pPr>
        <w:numPr>
          <w:ilvl w:val="0"/>
          <w:numId w:val="2"/>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9C30EB">
        <w:rPr>
          <w:rFonts w:ascii="Times New Roman" w:eastAsia="Times New Roman" w:hAnsi="Times New Roman" w:cs="Times New Roman"/>
          <w:b/>
          <w:bCs/>
          <w:kern w:val="0"/>
          <w:sz w:val="22"/>
          <w:szCs w:val="22"/>
          <w14:ligatures w14:val="none"/>
        </w:rPr>
        <w:t>Roma Statutu, maddələr 6 və 7:</w:t>
      </w:r>
      <w:r w:rsidRPr="009C30EB">
        <w:rPr>
          <w:rFonts w:ascii="Times New Roman" w:eastAsia="Times New Roman" w:hAnsi="Times New Roman" w:cs="Times New Roman"/>
          <w:kern w:val="0"/>
          <w:sz w:val="22"/>
          <w:szCs w:val="22"/>
          <w14:ligatures w14:val="none"/>
        </w:rPr>
        <w:t xml:space="preserve"> beynəlxalq cinayət hüququna istinadımı saxlayıram. Soyqırımı üçün qorunan qrupu məhv etmək xüsusi qəsdi, insanlıq əleyhinə cinayətlər üçün isə mülki əhaliyə qarşı genişmiqyaslı və ya sistematik hücum şərtləri ayrıca qiymətləndirilməlidir. </w:t>
      </w:r>
    </w:p>
    <w:p w14:paraId="67890B79"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Arxivin ümumi mənası və qəti mövqeyim</w:t>
      </w:r>
    </w:p>
    <w:p w14:paraId="0F8A19D2"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kern w:val="0"/>
          <w:sz w:val="22"/>
          <w:szCs w:val="22"/>
          <w14:ligatures w14:val="none"/>
        </w:rPr>
        <w:t>Mən bu ardıcıllığı təsadüfi səhvlər kimi qəbul etmirəm. İntihar cəhdindən və tibbi xəbərdarlıqlardan sonra da məhrumiyyətlərin davam etdirilməsini sağlamlığımı dağıdan və məni yenidən intihar böhranına sürükləyən davranış kimi ittiham edirəm. Sonradan verilmiş yardım əvvəlki aclığı, dərmansızlığı və zərəri aradan qaldırmadı.</w:t>
      </w:r>
    </w:p>
    <w:p w14:paraId="400D403E"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b/>
          <w:bCs/>
          <w:kern w:val="0"/>
          <w:sz w:val="22"/>
          <w:szCs w:val="22"/>
          <w14:ligatures w14:val="none"/>
        </w:rPr>
        <w:t>2004-cü ilin tarixləri digər qovluqlardakı proseslərlə tutuşdurulmalıdır.</w:t>
      </w:r>
      <w:r w:rsidRPr="009C30EB">
        <w:rPr>
          <w:rFonts w:ascii="Times New Roman" w:hAnsi="Times New Roman" w:cs="Times New Roman"/>
          <w:kern w:val="0"/>
          <w:sz w:val="22"/>
          <w:szCs w:val="22"/>
          <w14:ligatures w14:val="none"/>
        </w:rPr>
        <w:t xml:space="preserve"> Bu qovluq yalnız sosial və tibbi yardım məsələsini göstərir. Paralel proseslər eyni vaxtda neçə istiqamətdə mübarizə aparmağa məcbur qaldığımı və bu yükün sağlamlığıma ümumi təsirini göstərmək üçün birlikdə oxunmalıdır.</w:t>
      </w:r>
    </w:p>
    <w:p w14:paraId="576651C7" w14:textId="77777777" w:rsidR="00EC0725" w:rsidRPr="009C30EB" w:rsidRDefault="00EC0725" w:rsidP="008F5F5A">
      <w:pPr>
        <w:spacing w:before="100" w:beforeAutospacing="1" w:after="100" w:afterAutospacing="1" w:line="240" w:lineRule="auto"/>
        <w:jc w:val="both"/>
        <w:rPr>
          <w:rFonts w:ascii="Times New Roman" w:hAnsi="Times New Roman" w:cs="Times New Roman"/>
          <w:kern w:val="0"/>
          <w:sz w:val="22"/>
          <w:szCs w:val="22"/>
          <w14:ligatures w14:val="none"/>
        </w:rPr>
      </w:pPr>
      <w:r w:rsidRPr="009C30EB">
        <w:rPr>
          <w:rFonts w:ascii="Times New Roman" w:hAnsi="Times New Roman" w:cs="Times New Roman"/>
          <w:kern w:val="0"/>
          <w:sz w:val="22"/>
          <w:szCs w:val="22"/>
          <w14:ligatures w14:val="none"/>
        </w:rPr>
        <w:t>Bildirdiyimə görə, bu gün də ağır xəstəlik, tənhalıq, ayrı-seçkilik və müalicəyə çıxış maneələri içində yaşayıram. Almaniyadakı vəziyyətimi çıxış imkanlarımın daraldığı əsirlik kimi yaşayıram. Mənim qəti ittihamım budur ki, 28 il ərzində davam edən məhrumiyyətlər və hüquqi mübarizə yükü həyatımı dağıdıb. Bu qovluq həmin ittihamın sənədli tarixçəsinin yalnız kiçik bir hissəsidir.</w:t>
      </w:r>
    </w:p>
    <w:p w14:paraId="50EC6CBE" w14:textId="77777777" w:rsidR="00EC0725" w:rsidRPr="009C30EB" w:rsidRDefault="00EC0725" w:rsidP="008F5F5A">
      <w:pPr>
        <w:jc w:val="both"/>
        <w:rPr>
          <w:sz w:val="22"/>
          <w:szCs w:val="22"/>
        </w:rPr>
      </w:pPr>
    </w:p>
    <w:sectPr w:rsidR="00EC0725" w:rsidRPr="009C30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8B2D7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6C3FA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385470">
    <w:abstractNumId w:val="1"/>
  </w:num>
  <w:num w:numId="2" w16cid:durableId="1343825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725"/>
    <w:rsid w:val="00570B49"/>
    <w:rsid w:val="008F5F5A"/>
    <w:rsid w:val="009C30EB"/>
    <w:rsid w:val="00EC0725"/>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4E277159"/>
  <w15:chartTrackingRefBased/>
  <w15:docId w15:val="{C6A23386-14B3-C14F-BDE5-9D1520499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C07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EC07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EC072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C072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C072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C072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C072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C072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C072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C072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C072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C072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C072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C072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C072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C072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C072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C0725"/>
    <w:rPr>
      <w:rFonts w:eastAsiaTheme="majorEastAsia" w:cstheme="majorBidi"/>
      <w:color w:val="272727" w:themeColor="text1" w:themeTint="D8"/>
    </w:rPr>
  </w:style>
  <w:style w:type="paragraph" w:styleId="KonuBal">
    <w:name w:val="Title"/>
    <w:basedOn w:val="Normal"/>
    <w:next w:val="Normal"/>
    <w:link w:val="KonuBalChar"/>
    <w:uiPriority w:val="10"/>
    <w:qFormat/>
    <w:rsid w:val="00EC07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C072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C072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C072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C072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C0725"/>
    <w:rPr>
      <w:i/>
      <w:iCs/>
      <w:color w:val="404040" w:themeColor="text1" w:themeTint="BF"/>
    </w:rPr>
  </w:style>
  <w:style w:type="paragraph" w:styleId="ListeParagraf">
    <w:name w:val="List Paragraph"/>
    <w:basedOn w:val="Normal"/>
    <w:uiPriority w:val="34"/>
    <w:qFormat/>
    <w:rsid w:val="00EC0725"/>
    <w:pPr>
      <w:ind w:left="720"/>
      <w:contextualSpacing/>
    </w:pPr>
  </w:style>
  <w:style w:type="character" w:styleId="GlVurgulama">
    <w:name w:val="Intense Emphasis"/>
    <w:basedOn w:val="VarsaylanParagrafYazTipi"/>
    <w:uiPriority w:val="21"/>
    <w:qFormat/>
    <w:rsid w:val="00EC0725"/>
    <w:rPr>
      <w:i/>
      <w:iCs/>
      <w:color w:val="0F4761" w:themeColor="accent1" w:themeShade="BF"/>
    </w:rPr>
  </w:style>
  <w:style w:type="paragraph" w:styleId="GlAlnt">
    <w:name w:val="Intense Quote"/>
    <w:basedOn w:val="Normal"/>
    <w:next w:val="Normal"/>
    <w:link w:val="GlAlntChar"/>
    <w:uiPriority w:val="30"/>
    <w:qFormat/>
    <w:rsid w:val="00EC07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C0725"/>
    <w:rPr>
      <w:i/>
      <w:iCs/>
      <w:color w:val="0F4761" w:themeColor="accent1" w:themeShade="BF"/>
    </w:rPr>
  </w:style>
  <w:style w:type="character" w:styleId="GlBavuru">
    <w:name w:val="Intense Reference"/>
    <w:basedOn w:val="VarsaylanParagrafYazTipi"/>
    <w:uiPriority w:val="32"/>
    <w:qFormat/>
    <w:rsid w:val="00EC0725"/>
    <w:rPr>
      <w:b/>
      <w:bCs/>
      <w:smallCaps/>
      <w:color w:val="0F4761" w:themeColor="accent1" w:themeShade="BF"/>
      <w:spacing w:val="5"/>
    </w:rPr>
  </w:style>
  <w:style w:type="paragraph" w:customStyle="1" w:styleId="p1">
    <w:name w:val="p1"/>
    <w:basedOn w:val="Normal"/>
    <w:rsid w:val="00EC0725"/>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EC0725"/>
  </w:style>
  <w:style w:type="character" w:customStyle="1" w:styleId="s2">
    <w:name w:val="s2"/>
    <w:basedOn w:val="VarsaylanParagrafYazTipi"/>
    <w:rsid w:val="00EC0725"/>
  </w:style>
  <w:style w:type="paragraph" w:customStyle="1" w:styleId="p2">
    <w:name w:val="p2"/>
    <w:basedOn w:val="Normal"/>
    <w:rsid w:val="00EC0725"/>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EC0725"/>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VarsaylanParagrafYazTipi"/>
    <w:rsid w:val="00EC0725"/>
  </w:style>
  <w:style w:type="paragraph" w:customStyle="1" w:styleId="p5">
    <w:name w:val="p5"/>
    <w:basedOn w:val="Normal"/>
    <w:rsid w:val="00EC0725"/>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911</Words>
  <Characters>5199</Characters>
  <Application>Microsoft Office Word</Application>
  <DocSecurity>0</DocSecurity>
  <Lines>43</Lines>
  <Paragraphs>12</Paragraphs>
  <ScaleCrop>false</ScaleCrop>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2026-10-10T07:18:00Z</dcterms:created>
  <dcterms:modified xsi:type="dcterms:W3CDTF">2026-10-10T07:18:00Z</dcterms:modified>
</cp:coreProperties>
</file>