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- 1000 Suicide-GERMANI</w:t></w:r><w:bookmarkEnd w:id="0"/></w:p><w:p/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 Quelle: 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Was ware gewesen, hatte sie nicht geklagt? Was ware gewesen, hatte</w:t></w:r></w:p><w:p><w:pPr/><w:r><w:rPr/><w:t xml:space="preserve">im Zuwande-        waltungsgerichts anerkannt, dass Verfolgung aufgrund Homosexua-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</w:t></w:r></w:p><w:p><w:pPr/><w:r><w:rPr/><w:t xml:space="preserve">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 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 Vgl. BVerfGE</w:t></w:r></w:p><w:p><w:pPr/><w:r><w:rPr/><w:t xml:space="preserve">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 Quelle: GLADT</w:t></w:r></w:p><w:p><w:pPr/><w:r><w:rPr/><w:t xml:space="preserve">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609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2026-10-15T12:43:18+02:00</dcterms:created>
  <dcterms:modified xsi:type="dcterms:W3CDTF">2026-10-15T12:43:18+02:00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