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C9A90" w14:textId="77777777" w:rsidR="00E64832" w:rsidRPr="00B25362" w:rsidRDefault="00E64832" w:rsidP="00235A6A">
      <w:pPr>
        <w:pStyle w:val="p1"/>
        <w:jc w:val="both"/>
        <w:rPr>
          <w:sz w:val="22"/>
          <w:szCs w:val="22"/>
        </w:rPr>
      </w:pPr>
      <w:r w:rsidRPr="00B25362">
        <w:rPr>
          <w:sz w:val="22"/>
          <w:szCs w:val="22"/>
        </w:rPr>
        <w:t>2008 — Federal Constitutional Court Complaint AR 6429/08, Rejected Judicial Appeals, Medical Evidence and Alleged Violations of German and International Human Rights Law</w:t>
      </w:r>
    </w:p>
    <w:p w14:paraId="1707F7F0" w14:textId="77777777" w:rsidR="00E64832" w:rsidRPr="00B25362" w:rsidRDefault="00E64832" w:rsidP="00235A6A">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p>
    <w:p w14:paraId="77CC96EF" w14:textId="1D06556D" w:rsidR="00015203" w:rsidRPr="00B25362" w:rsidRDefault="00015203" w:rsidP="00235A6A">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B25362">
        <w:rPr>
          <w:rFonts w:ascii="Times New Roman" w:eastAsia="Times New Roman" w:hAnsi="Times New Roman" w:cs="Times New Roman"/>
          <w:b/>
          <w:bCs/>
          <w:kern w:val="36"/>
          <w:sz w:val="22"/>
          <w:szCs w:val="22"/>
          <w14:ligatures w14:val="none"/>
        </w:rPr>
        <w:t>DOCUMENTARY ARCHIVE — 2008</w:t>
      </w:r>
    </w:p>
    <w:p w14:paraId="7EC73446" w14:textId="77777777" w:rsidR="00015203" w:rsidRPr="00B25362" w:rsidRDefault="00015203" w:rsidP="00235A6A">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Federal Constitutional Court, Case AR 6429/08 — Constitutional Complaints, Judicial Decisions and Alleged Human Rights Violations</w:t>
      </w:r>
    </w:p>
    <w:p w14:paraId="3B2D5F63"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This archive contains four PDF documents comprising 25 pages of original complaints, objections, official correspondence, procedural guidance and registered postal evidence concerning Ismail Rustam’s attempts to obtain constitutional protection in Germany.</w:t>
      </w:r>
    </w:p>
    <w:p w14:paraId="56B1197A"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1. Constitutional Complaint — 25 September 2008</w:t>
      </w:r>
    </w:p>
    <w:p w14:paraId="632B4638"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On 25 September 2008, Ismail Rustam submitted a complaint to the Federal Constitutional Court of Germany (Bundesverfassungsgericht).</w:t>
      </w:r>
    </w:p>
    <w:p w14:paraId="0E31B793"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challenged the handling of his earlier proceedings by the Berlin Administrative Court, the Higher Administrative Court of Berlin-Brandenburg and the Federal Administrative Court.</w:t>
      </w:r>
    </w:p>
    <w:p w14:paraId="245C4517"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principal proceedings were:</w:t>
      </w:r>
    </w:p>
    <w:p w14:paraId="02D35029" w14:textId="77777777" w:rsidR="00015203" w:rsidRPr="00B25362" w:rsidRDefault="00015203" w:rsidP="00235A6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kern w:val="0"/>
          <w:sz w:val="22"/>
          <w:szCs w:val="22"/>
          <w14:ligatures w14:val="none"/>
        </w:rPr>
        <w:t>VG 15 A 281.07</w:t>
      </w:r>
    </w:p>
    <w:p w14:paraId="7FB6EF56" w14:textId="77777777" w:rsidR="00015203" w:rsidRPr="00B25362" w:rsidRDefault="00015203" w:rsidP="00235A6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kern w:val="0"/>
          <w:sz w:val="22"/>
          <w:szCs w:val="22"/>
          <w14:ligatures w14:val="none"/>
        </w:rPr>
        <w:t>OVG 2 M 27.08</w:t>
      </w:r>
    </w:p>
    <w:p w14:paraId="2808AA29" w14:textId="77777777" w:rsidR="00015203" w:rsidRPr="00B25362" w:rsidRDefault="00015203" w:rsidP="00235A6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kern w:val="0"/>
          <w:sz w:val="22"/>
          <w:szCs w:val="22"/>
          <w14:ligatures w14:val="none"/>
        </w:rPr>
        <w:t>OVG 2 L 28.08</w:t>
      </w:r>
    </w:p>
    <w:p w14:paraId="6F74B14C" w14:textId="77777777" w:rsidR="00015203" w:rsidRPr="00B25362" w:rsidRDefault="00015203" w:rsidP="00235A6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kern w:val="0"/>
          <w:sz w:val="22"/>
          <w:szCs w:val="22"/>
          <w14:ligatures w14:val="none"/>
        </w:rPr>
        <w:t>BVerwG 1 ER 128.08</w:t>
      </w:r>
    </w:p>
    <w:p w14:paraId="6AC2989C"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disputed the rejection of legal aid, the allocation of court costs and the handling of his complaints concerning immigration restrictions, serious medical conditions and alleged misconduct by public authorities.</w:t>
      </w:r>
    </w:p>
    <w:p w14:paraId="46657702"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requested legal assistance, independent examination of the evidence and accountability for the alleged violations.</w:t>
      </w:r>
    </w:p>
    <w:p w14:paraId="3D935581"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2. Federal Constitutional Court Response — 9 October 2008</w:t>
      </w:r>
    </w:p>
    <w:p w14:paraId="5843FE2B"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 xml:space="preserve">The Federal Constitutional Court registered the matter under </w:t>
      </w:r>
      <w:r w:rsidRPr="00B25362">
        <w:rPr>
          <w:rFonts w:ascii="Times New Roman" w:hAnsi="Times New Roman" w:cs="Times New Roman"/>
          <w:b/>
          <w:bCs/>
          <w:kern w:val="0"/>
          <w:sz w:val="22"/>
          <w:szCs w:val="22"/>
          <w14:ligatures w14:val="none"/>
        </w:rPr>
        <w:t>AR 6429/08</w:t>
      </w:r>
      <w:r w:rsidRPr="00B25362">
        <w:rPr>
          <w:rFonts w:ascii="Times New Roman" w:hAnsi="Times New Roman" w:cs="Times New Roman"/>
          <w:kern w:val="0"/>
          <w:sz w:val="22"/>
          <w:szCs w:val="22"/>
          <w14:ligatures w14:val="none"/>
        </w:rPr>
        <w:t>.</w:t>
      </w:r>
    </w:p>
    <w:p w14:paraId="437A9C53"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In its letter dated 9 October 2008, the Court’s administrative office explained that the Federal Administrative Court’s letter of 14 August 2008 was not considered an independently challengeable act of public authority.</w:t>
      </w:r>
    </w:p>
    <w:p w14:paraId="51CBFAC9"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It also stated that the constitutional complaint concerning the Higher Administrative Court’s decisions of 7 July 2008 appeared to have been submitted outside the applicable one-month deadline.</w:t>
      </w:r>
    </w:p>
    <w:p w14:paraId="1960DAAC"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submission was therefore handled as a judicial administrative matter under Section 60 of the Court’s Rules of Procedure (GOBVerfG).</w:t>
      </w:r>
    </w:p>
    <w:p w14:paraId="33B1B04F"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correspondence does not establish that a judicial panel examined and rejected the substantive human-rights allegations.</w:t>
      </w:r>
    </w:p>
    <w:p w14:paraId="42C5868A"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lastRenderedPageBreak/>
        <w:t>3. First Objection — 20 October 2008</w:t>
      </w:r>
    </w:p>
    <w:p w14:paraId="2EC72CAF"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In his objection dated 20 October 2008, Ismail Rustam challenged the Court’s response and accused German authorities, courts and legal representatives of failing to address serious violations of his rights.</w:t>
      </w:r>
    </w:p>
    <w:p w14:paraId="2A09F32B"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described prolonged immigration restrictions, homelessness, lack of adequate medical care, severe health deterioration and the consequences of earlier judicial proceedings.</w:t>
      </w:r>
    </w:p>
    <w:p w14:paraId="5AC277EF"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referred to his serious medical conditions, the refusal of legal aid, the disputed actions of lawyer Jörn Wobbe and the administrative proceedings VG 15 A 281.07.</w:t>
      </w:r>
    </w:p>
    <w:p w14:paraId="717FF851"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also referred to earlier proceedings in which a criminal conviction had been overturned.</w:t>
      </w:r>
    </w:p>
    <w:p w14:paraId="55663C3A"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objection contained serious allegations of institutional wrongdoing, suppression of complaints and failure to protect his life and health.</w:t>
      </w:r>
    </w:p>
    <w:p w14:paraId="4E216033"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4. Second Objection — 24 December 2008</w:t>
      </w:r>
    </w:p>
    <w:p w14:paraId="71746A47"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On 24 December 2008, Ismail Rustam prepared a second objection against the handling of his constitutional complaint.</w:t>
      </w:r>
    </w:p>
    <w:p w14:paraId="1A1E1943"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He accused the responsible institutions of repeatedly disregarding his complaints and of causing severe physical and psychological harm through their actions and omissions.</w:t>
      </w:r>
    </w:p>
    <w:p w14:paraId="0FBBCF5F"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letter referred to previous communications with the European Court of Human Rights and the United Nations.</w:t>
      </w:r>
    </w:p>
    <w:p w14:paraId="330F338C"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 xml:space="preserve">The archive also contains a registered postal receipt dated </w:t>
      </w:r>
      <w:r w:rsidRPr="00B25362">
        <w:rPr>
          <w:rFonts w:ascii="Times New Roman" w:hAnsi="Times New Roman" w:cs="Times New Roman"/>
          <w:b/>
          <w:bCs/>
          <w:kern w:val="0"/>
          <w:sz w:val="22"/>
          <w:szCs w:val="22"/>
          <w14:ligatures w14:val="none"/>
        </w:rPr>
        <w:t>29 December 2008</w:t>
      </w:r>
      <w:r w:rsidRPr="00B25362">
        <w:rPr>
          <w:rFonts w:ascii="Times New Roman" w:hAnsi="Times New Roman" w:cs="Times New Roman"/>
          <w:kern w:val="0"/>
          <w:sz w:val="22"/>
          <w:szCs w:val="22"/>
          <w14:ligatures w14:val="none"/>
        </w:rPr>
        <w:t xml:space="preserve">, together with a return receipt bearing an incoming stamp from the Federal Constitutional Court dated </w:t>
      </w:r>
      <w:r w:rsidRPr="00B25362">
        <w:rPr>
          <w:rFonts w:ascii="Times New Roman" w:hAnsi="Times New Roman" w:cs="Times New Roman"/>
          <w:b/>
          <w:bCs/>
          <w:kern w:val="0"/>
          <w:sz w:val="22"/>
          <w:szCs w:val="22"/>
          <w14:ligatures w14:val="none"/>
        </w:rPr>
        <w:t>31 December 2008</w:t>
      </w:r>
      <w:r w:rsidRPr="00B25362">
        <w:rPr>
          <w:rFonts w:ascii="Times New Roman" w:hAnsi="Times New Roman" w:cs="Times New Roman"/>
          <w:kern w:val="0"/>
          <w:sz w:val="22"/>
          <w:szCs w:val="22"/>
          <w14:ligatures w14:val="none"/>
        </w:rPr>
        <w:t>.</w:t>
      </w:r>
    </w:p>
    <w:p w14:paraId="69395900"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These documents provide evidence of the transmission and receipt of the correspondence.</w:t>
      </w:r>
    </w:p>
    <w:p w14:paraId="5818385B"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5. Potential Violations of German Constitutional Law</w:t>
      </w:r>
    </w:p>
    <w:p w14:paraId="3436CF5B"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allegations raise questions under the following provisions of the German Basic Law:</w:t>
      </w:r>
    </w:p>
    <w:p w14:paraId="35BD96CC"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1(1) GG:</w:t>
      </w:r>
      <w:r w:rsidRPr="00B25362">
        <w:rPr>
          <w:rFonts w:ascii="Times New Roman" w:eastAsia="Times New Roman" w:hAnsi="Times New Roman" w:cs="Times New Roman"/>
          <w:kern w:val="0"/>
          <w:sz w:val="22"/>
          <w:szCs w:val="22"/>
          <w14:ligatures w14:val="none"/>
        </w:rPr>
        <w:t xml:space="preserve"> Protection of human dignity.</w:t>
      </w:r>
    </w:p>
    <w:p w14:paraId="454EE78D"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2(2) GG:</w:t>
      </w:r>
      <w:r w:rsidRPr="00B25362">
        <w:rPr>
          <w:rFonts w:ascii="Times New Roman" w:eastAsia="Times New Roman" w:hAnsi="Times New Roman" w:cs="Times New Roman"/>
          <w:kern w:val="0"/>
          <w:sz w:val="22"/>
          <w:szCs w:val="22"/>
          <w14:ligatures w14:val="none"/>
        </w:rPr>
        <w:t xml:space="preserve"> Right to life and physical integrity.</w:t>
      </w:r>
    </w:p>
    <w:p w14:paraId="7F15E516"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3(1) GG:</w:t>
      </w:r>
      <w:r w:rsidRPr="00B25362">
        <w:rPr>
          <w:rFonts w:ascii="Times New Roman" w:eastAsia="Times New Roman" w:hAnsi="Times New Roman" w:cs="Times New Roman"/>
          <w:kern w:val="0"/>
          <w:sz w:val="22"/>
          <w:szCs w:val="22"/>
          <w14:ligatures w14:val="none"/>
        </w:rPr>
        <w:t xml:space="preserve"> Equality before the law.</w:t>
      </w:r>
    </w:p>
    <w:p w14:paraId="0602672B"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3(3) GG:</w:t>
      </w:r>
      <w:r w:rsidRPr="00B25362">
        <w:rPr>
          <w:rFonts w:ascii="Times New Roman" w:eastAsia="Times New Roman" w:hAnsi="Times New Roman" w:cs="Times New Roman"/>
          <w:kern w:val="0"/>
          <w:sz w:val="22"/>
          <w:szCs w:val="22"/>
          <w14:ligatures w14:val="none"/>
        </w:rPr>
        <w:t xml:space="preserve"> Protection against discrimination, including disability discrimination.</w:t>
      </w:r>
    </w:p>
    <w:p w14:paraId="253C9EEF"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19(4) GG:</w:t>
      </w:r>
      <w:r w:rsidRPr="00B25362">
        <w:rPr>
          <w:rFonts w:ascii="Times New Roman" w:eastAsia="Times New Roman" w:hAnsi="Times New Roman" w:cs="Times New Roman"/>
          <w:kern w:val="0"/>
          <w:sz w:val="22"/>
          <w:szCs w:val="22"/>
          <w14:ligatures w14:val="none"/>
        </w:rPr>
        <w:t xml:space="preserve"> Effective judicial protection.</w:t>
      </w:r>
    </w:p>
    <w:p w14:paraId="21AA0726" w14:textId="77777777" w:rsidR="00015203" w:rsidRPr="00B25362" w:rsidRDefault="00015203" w:rsidP="00235A6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103(1) GG:</w:t>
      </w:r>
      <w:r w:rsidRPr="00B25362">
        <w:rPr>
          <w:rFonts w:ascii="Times New Roman" w:eastAsia="Times New Roman" w:hAnsi="Times New Roman" w:cs="Times New Roman"/>
          <w:kern w:val="0"/>
          <w:sz w:val="22"/>
          <w:szCs w:val="22"/>
          <w14:ligatures w14:val="none"/>
        </w:rPr>
        <w:t xml:space="preserve"> Right to be heard in judicial proceedings.</w:t>
      </w:r>
    </w:p>
    <w:p w14:paraId="12E10BDB"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Relevant procedural provisions include Sections 90, 92 and 93 of the Federal Constitutional Court Act (BVerfGG), concerning admissibility, substantiation and filing deadlines.</w:t>
      </w:r>
    </w:p>
    <w:p w14:paraId="5E909C3C"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central legal questions include whether the complaint was correctly classified, whether the relevant deadlines were calculated correctly, whether the applicant’s medical and procedural circumstances were adequately considered, and whether an effective legal remedy was available.</w:t>
      </w:r>
    </w:p>
    <w:p w14:paraId="6CC6952B"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6. Potential Violations of International Human Rights Law</w:t>
      </w:r>
    </w:p>
    <w:p w14:paraId="195577A1"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lastRenderedPageBreak/>
        <w:t>The applicant’s allegations raise issues potentially relevant under the European Convention on Human Rights:</w:t>
      </w:r>
    </w:p>
    <w:p w14:paraId="7EDB0944"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2:</w:t>
      </w:r>
      <w:r w:rsidRPr="00B25362">
        <w:rPr>
          <w:rFonts w:ascii="Times New Roman" w:eastAsia="Times New Roman" w:hAnsi="Times New Roman" w:cs="Times New Roman"/>
          <w:kern w:val="0"/>
          <w:sz w:val="22"/>
          <w:szCs w:val="22"/>
          <w14:ligatures w14:val="none"/>
        </w:rPr>
        <w:t xml:space="preserve"> Right to life.</w:t>
      </w:r>
    </w:p>
    <w:p w14:paraId="33FF753B"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3:</w:t>
      </w:r>
      <w:r w:rsidRPr="00B25362">
        <w:rPr>
          <w:rFonts w:ascii="Times New Roman" w:eastAsia="Times New Roman" w:hAnsi="Times New Roman" w:cs="Times New Roman"/>
          <w:kern w:val="0"/>
          <w:sz w:val="22"/>
          <w:szCs w:val="22"/>
          <w14:ligatures w14:val="none"/>
        </w:rPr>
        <w:t xml:space="preserve"> Prohibition of inhuman or degrading treatment.</w:t>
      </w:r>
    </w:p>
    <w:p w14:paraId="6A41381D"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6:</w:t>
      </w:r>
      <w:r w:rsidRPr="00B25362">
        <w:rPr>
          <w:rFonts w:ascii="Times New Roman" w:eastAsia="Times New Roman" w:hAnsi="Times New Roman" w:cs="Times New Roman"/>
          <w:kern w:val="0"/>
          <w:sz w:val="22"/>
          <w:szCs w:val="22"/>
          <w14:ligatures w14:val="none"/>
        </w:rPr>
        <w:t xml:space="preserve"> Right to a fair hearing, where applicable.</w:t>
      </w:r>
    </w:p>
    <w:p w14:paraId="6312AF03"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8:</w:t>
      </w:r>
      <w:r w:rsidRPr="00B25362">
        <w:rPr>
          <w:rFonts w:ascii="Times New Roman" w:eastAsia="Times New Roman" w:hAnsi="Times New Roman" w:cs="Times New Roman"/>
          <w:kern w:val="0"/>
          <w:sz w:val="22"/>
          <w:szCs w:val="22"/>
          <w14:ligatures w14:val="none"/>
        </w:rPr>
        <w:t xml:space="preserve"> Respect for private life and personal integrity.</w:t>
      </w:r>
    </w:p>
    <w:p w14:paraId="5ED0F74E"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13:</w:t>
      </w:r>
      <w:r w:rsidRPr="00B25362">
        <w:rPr>
          <w:rFonts w:ascii="Times New Roman" w:eastAsia="Times New Roman" w:hAnsi="Times New Roman" w:cs="Times New Roman"/>
          <w:kern w:val="0"/>
          <w:sz w:val="22"/>
          <w:szCs w:val="22"/>
          <w14:ligatures w14:val="none"/>
        </w:rPr>
        <w:t xml:space="preserve"> Right to an effective remedy.</w:t>
      </w:r>
    </w:p>
    <w:p w14:paraId="11AC56C9" w14:textId="77777777" w:rsidR="00015203" w:rsidRPr="00B25362" w:rsidRDefault="00015203" w:rsidP="00235A6A">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B25362">
        <w:rPr>
          <w:rFonts w:ascii="Times New Roman" w:eastAsia="Times New Roman" w:hAnsi="Times New Roman" w:cs="Times New Roman"/>
          <w:b/>
          <w:bCs/>
          <w:kern w:val="0"/>
          <w:sz w:val="22"/>
          <w:szCs w:val="22"/>
          <w14:ligatures w14:val="none"/>
        </w:rPr>
        <w:t>Article 14:</w:t>
      </w:r>
      <w:r w:rsidRPr="00B25362">
        <w:rPr>
          <w:rFonts w:ascii="Times New Roman" w:eastAsia="Times New Roman" w:hAnsi="Times New Roman" w:cs="Times New Roman"/>
          <w:kern w:val="0"/>
          <w:sz w:val="22"/>
          <w:szCs w:val="22"/>
          <w14:ligatures w14:val="none"/>
        </w:rPr>
        <w:t xml:space="preserve"> Prohibition of discrimination in the enjoyment of Convention rights.</w:t>
      </w:r>
    </w:p>
    <w:p w14:paraId="1B8A22A1"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Further relevant standards include Articles 6, 7 and 26 of the International Covenant on Civil and Political Rights (ICCPR) and Article 12 of the International Covenant on Economic, Social and Cultural Rights (ICESCR).</w:t>
      </w:r>
    </w:p>
    <w:p w14:paraId="1D5F4A84"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These provisions provide a framework for examining the applicant’s allegations; the documents alone do not establish that each provision was violated.</w:t>
      </w:r>
    </w:p>
    <w:p w14:paraId="6BBA5D20" w14:textId="77777777" w:rsidR="00015203" w:rsidRPr="00B25362" w:rsidRDefault="00015203" w:rsidP="00235A6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25362">
        <w:rPr>
          <w:rFonts w:ascii="Times New Roman" w:eastAsia="Times New Roman" w:hAnsi="Times New Roman" w:cs="Times New Roman"/>
          <w:b/>
          <w:bCs/>
          <w:kern w:val="0"/>
          <w:sz w:val="22"/>
          <w:szCs w:val="22"/>
          <w14:ligatures w14:val="none"/>
        </w:rPr>
        <w:t>7. Historical and Legal Significance</w:t>
      </w:r>
    </w:p>
    <w:p w14:paraId="67939726"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archive documents a series of constitutional complaints and objections concerning the applicant’s attempts to obtain protection against alleged unlawful immigration restrictions, inadequate medical assistance, procedural unfairness and failures of judicial protection.</w:t>
      </w:r>
    </w:p>
    <w:p w14:paraId="241A76AE"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It also preserves the official explanation given by the Federal Constitutional Court, the applicant’s objections to that explanation, and postal evidence of subsequent correspondence.</w:t>
      </w:r>
    </w:p>
    <w:p w14:paraId="2647BDF0"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b/>
          <w:bCs/>
          <w:kern w:val="0"/>
          <w:sz w:val="22"/>
          <w:szCs w:val="22"/>
          <w14:ligatures w14:val="none"/>
        </w:rPr>
        <w:t>The central unresolved question is whether the applicant’s substantive constitutional and human-rights complaints received effective judicial consideration, and whether the procedural barriers applied in his case complied with the relevant legal safeguards.</w:t>
      </w:r>
    </w:p>
    <w:p w14:paraId="294E7A07"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kern w:val="0"/>
          <w:sz w:val="22"/>
          <w:szCs w:val="22"/>
          <w14:ligatures w14:val="none"/>
        </w:rPr>
        <w:t>The documents are preserved for historical documentation, independent legal examination and assessment of potential institutional responsibility.</w:t>
      </w:r>
    </w:p>
    <w:p w14:paraId="42AC3037" w14:textId="77777777" w:rsidR="00015203" w:rsidRPr="00B25362" w:rsidRDefault="00015203" w:rsidP="00235A6A">
      <w:pPr>
        <w:spacing w:before="100" w:beforeAutospacing="1" w:after="100" w:afterAutospacing="1" w:line="240" w:lineRule="auto"/>
        <w:jc w:val="both"/>
        <w:rPr>
          <w:rFonts w:ascii="Times New Roman" w:hAnsi="Times New Roman" w:cs="Times New Roman"/>
          <w:kern w:val="0"/>
          <w:sz w:val="22"/>
          <w:szCs w:val="22"/>
          <w14:ligatures w14:val="none"/>
        </w:rPr>
      </w:pPr>
      <w:r w:rsidRPr="00B25362">
        <w:rPr>
          <w:rFonts w:ascii="Times New Roman" w:hAnsi="Times New Roman" w:cs="Times New Roman"/>
          <w:b/>
          <w:bCs/>
          <w:kern w:val="0"/>
          <w:sz w:val="22"/>
          <w:szCs w:val="22"/>
          <w14:ligatures w14:val="none"/>
        </w:rPr>
        <w:t>Ismail Rustam — Constitutional Complaint Archive, 2008</w:t>
      </w:r>
    </w:p>
    <w:p w14:paraId="07C72B33" w14:textId="77777777" w:rsidR="00015203" w:rsidRPr="00B25362" w:rsidRDefault="00015203" w:rsidP="00235A6A">
      <w:pPr>
        <w:jc w:val="both"/>
        <w:rPr>
          <w:rFonts w:ascii="Times New Roman" w:hAnsi="Times New Roman" w:cs="Times New Roman"/>
          <w:sz w:val="22"/>
          <w:szCs w:val="22"/>
        </w:rPr>
      </w:pPr>
    </w:p>
    <w:sectPr w:rsidR="00015203" w:rsidRPr="00B253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F326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4F38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606F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2638480">
    <w:abstractNumId w:val="1"/>
  </w:num>
  <w:num w:numId="2" w16cid:durableId="1953633379">
    <w:abstractNumId w:val="2"/>
  </w:num>
  <w:num w:numId="3" w16cid:durableId="17855337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03"/>
    <w:rsid w:val="00015203"/>
    <w:rsid w:val="00235A6A"/>
    <w:rsid w:val="00291390"/>
    <w:rsid w:val="00B25362"/>
    <w:rsid w:val="00B30E8A"/>
    <w:rsid w:val="00C6121D"/>
    <w:rsid w:val="00E64832"/>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638BA8D9"/>
  <w15:chartTrackingRefBased/>
  <w15:docId w15:val="{59B5054D-B2B6-BB4E-9AC1-06364793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152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0152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01520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1520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1520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1520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1520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1520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1520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1520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1520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1520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1520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1520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1520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1520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1520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15203"/>
    <w:rPr>
      <w:rFonts w:eastAsiaTheme="majorEastAsia" w:cstheme="majorBidi"/>
      <w:color w:val="272727" w:themeColor="text1" w:themeTint="D8"/>
    </w:rPr>
  </w:style>
  <w:style w:type="paragraph" w:styleId="KonuBal">
    <w:name w:val="Title"/>
    <w:basedOn w:val="Normal"/>
    <w:next w:val="Normal"/>
    <w:link w:val="KonuBalChar"/>
    <w:uiPriority w:val="10"/>
    <w:qFormat/>
    <w:rsid w:val="000152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1520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1520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1520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1520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15203"/>
    <w:rPr>
      <w:i/>
      <w:iCs/>
      <w:color w:val="404040" w:themeColor="text1" w:themeTint="BF"/>
    </w:rPr>
  </w:style>
  <w:style w:type="paragraph" w:styleId="ListeParagraf">
    <w:name w:val="List Paragraph"/>
    <w:basedOn w:val="Normal"/>
    <w:uiPriority w:val="34"/>
    <w:qFormat/>
    <w:rsid w:val="00015203"/>
    <w:pPr>
      <w:ind w:left="720"/>
      <w:contextualSpacing/>
    </w:pPr>
  </w:style>
  <w:style w:type="character" w:styleId="GlVurgulama">
    <w:name w:val="Intense Emphasis"/>
    <w:basedOn w:val="VarsaylanParagrafYazTipi"/>
    <w:uiPriority w:val="21"/>
    <w:qFormat/>
    <w:rsid w:val="00015203"/>
    <w:rPr>
      <w:i/>
      <w:iCs/>
      <w:color w:val="0F4761" w:themeColor="accent1" w:themeShade="BF"/>
    </w:rPr>
  </w:style>
  <w:style w:type="paragraph" w:styleId="GlAlnt">
    <w:name w:val="Intense Quote"/>
    <w:basedOn w:val="Normal"/>
    <w:next w:val="Normal"/>
    <w:link w:val="GlAlntChar"/>
    <w:uiPriority w:val="30"/>
    <w:qFormat/>
    <w:rsid w:val="000152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15203"/>
    <w:rPr>
      <w:i/>
      <w:iCs/>
      <w:color w:val="0F4761" w:themeColor="accent1" w:themeShade="BF"/>
    </w:rPr>
  </w:style>
  <w:style w:type="character" w:styleId="GlBavuru">
    <w:name w:val="Intense Reference"/>
    <w:basedOn w:val="VarsaylanParagrafYazTipi"/>
    <w:uiPriority w:val="32"/>
    <w:qFormat/>
    <w:rsid w:val="00015203"/>
    <w:rPr>
      <w:b/>
      <w:bCs/>
      <w:smallCaps/>
      <w:color w:val="0F4761" w:themeColor="accent1" w:themeShade="BF"/>
      <w:spacing w:val="5"/>
    </w:rPr>
  </w:style>
  <w:style w:type="character" w:customStyle="1" w:styleId="s1">
    <w:name w:val="s1"/>
    <w:basedOn w:val="VarsaylanParagrafYazTipi"/>
    <w:rsid w:val="00015203"/>
  </w:style>
  <w:style w:type="paragraph" w:customStyle="1" w:styleId="p3">
    <w:name w:val="p3"/>
    <w:basedOn w:val="Normal"/>
    <w:rsid w:val="00015203"/>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015203"/>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015203"/>
  </w:style>
  <w:style w:type="paragraph" w:customStyle="1" w:styleId="p5">
    <w:name w:val="p5"/>
    <w:basedOn w:val="Normal"/>
    <w:rsid w:val="00015203"/>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015203"/>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5515</Characters>
  <Application>Microsoft Office Word</Application>
  <DocSecurity>0</DocSecurity>
  <Lines>45</Lines>
  <Paragraphs>12</Paragraphs>
  <ScaleCrop>false</ScaleCrop>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2026-10-18T03:39:00Z</dcterms:created>
  <dcterms:modified xsi:type="dcterms:W3CDTF">2026-10-18T03:39:00Z</dcterms:modified>
</cp:coreProperties>
</file>