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F6A8B" w14:textId="77777777" w:rsidR="00623959" w:rsidRPr="006F3C54" w:rsidRDefault="00623959" w:rsidP="00D93A9C">
      <w:pPr>
        <w:pStyle w:val="p1"/>
        <w:pBdr>
          <w:bottom w:val="single" w:sz="6" w:space="1" w:color="auto"/>
        </w:pBdr>
        <w:jc w:val="both"/>
        <w:rPr>
          <w:sz w:val="22"/>
          <w:szCs w:val="22"/>
        </w:rPr>
      </w:pPr>
    </w:p>
    <w:p w14:paraId="17B5B55F" w14:textId="1BF74F6F" w:rsidR="00EF063E" w:rsidRPr="006F3C54" w:rsidRDefault="00EF063E" w:rsidP="00D93A9C">
      <w:pPr>
        <w:pStyle w:val="p1"/>
        <w:pBdr>
          <w:bottom w:val="single" w:sz="6" w:space="1" w:color="auto"/>
        </w:pBdr>
        <w:jc w:val="both"/>
        <w:rPr>
          <w:sz w:val="22"/>
          <w:szCs w:val="22"/>
        </w:rPr>
      </w:pPr>
      <w:r w:rsidRPr="006F3C54">
        <w:rPr>
          <w:sz w:val="22"/>
          <w:szCs w:val="22"/>
        </w:rPr>
        <w:t>1998–2005 — Immigration Detention, Wrongful Criminal Conviction, Imprisonment Threat, Reopening of Proceedings and Acquittal — Rustem Ismail</w:t>
      </w:r>
    </w:p>
    <w:p w14:paraId="5C23D905" w14:textId="77777777" w:rsidR="008A30E7" w:rsidRPr="006F3C54" w:rsidRDefault="008A30E7" w:rsidP="00D93A9C">
      <w:pPr>
        <w:spacing w:before="100" w:beforeAutospacing="1" w:after="100" w:afterAutospacing="1" w:line="240" w:lineRule="auto"/>
        <w:jc w:val="both"/>
        <w:rPr>
          <w:rFonts w:ascii="Times New Roman" w:hAnsi="Times New Roman" w:cs="Times New Roman"/>
          <w:kern w:val="0"/>
          <w:sz w:val="22"/>
          <w:szCs w:val="22"/>
          <w14:ligatures w14:val="none"/>
        </w:rPr>
      </w:pPr>
      <w:r w:rsidRPr="006F3C54">
        <w:rPr>
          <w:rFonts w:ascii="Times New Roman" w:hAnsi="Times New Roman" w:cs="Times New Roman"/>
          <w:b/>
          <w:bCs/>
          <w:kern w:val="0"/>
          <w:sz w:val="22"/>
          <w:szCs w:val="22"/>
          <w14:ligatures w14:val="none"/>
        </w:rPr>
        <w:t>Documentary Evidence — 1998–2005: Immigration Detention, Criminal Prosecution, Imprisonment Threat, Judicial Reopening and Acquittal</w:t>
      </w:r>
    </w:p>
    <w:p w14:paraId="66498030" w14:textId="77777777" w:rsidR="008A30E7" w:rsidRPr="006F3C54" w:rsidRDefault="008A30E7" w:rsidP="00D93A9C">
      <w:pPr>
        <w:spacing w:before="100" w:beforeAutospacing="1" w:after="100" w:afterAutospacing="1" w:line="240" w:lineRule="auto"/>
        <w:jc w:val="both"/>
        <w:rPr>
          <w:rFonts w:ascii="Times New Roman" w:hAnsi="Times New Roman" w:cs="Times New Roman"/>
          <w:kern w:val="0"/>
          <w:sz w:val="22"/>
          <w:szCs w:val="22"/>
          <w14:ligatures w14:val="none"/>
        </w:rPr>
      </w:pPr>
      <w:r w:rsidRPr="006F3C54">
        <w:rPr>
          <w:rFonts w:ascii="Times New Roman" w:hAnsi="Times New Roman" w:cs="Times New Roman"/>
          <w:kern w:val="0"/>
          <w:sz w:val="22"/>
          <w:szCs w:val="22"/>
          <w14:ligatures w14:val="none"/>
        </w:rPr>
        <w:t>This archive contains a 392-page collection of German judicial, prosecutorial, immigration, legal and medical documents concerning Rustem Ismail and the consequences of his detention and treatment by German authorities.</w:t>
      </w:r>
    </w:p>
    <w:p w14:paraId="2CC79671" w14:textId="77777777" w:rsidR="008A30E7" w:rsidRPr="006F3C54" w:rsidRDefault="008A30E7" w:rsidP="00D93A9C">
      <w:pPr>
        <w:spacing w:before="100" w:beforeAutospacing="1" w:after="100" w:afterAutospacing="1" w:line="240" w:lineRule="auto"/>
        <w:jc w:val="both"/>
        <w:rPr>
          <w:rFonts w:ascii="Times New Roman" w:hAnsi="Times New Roman" w:cs="Times New Roman"/>
          <w:kern w:val="0"/>
          <w:sz w:val="22"/>
          <w:szCs w:val="22"/>
          <w14:ligatures w14:val="none"/>
        </w:rPr>
      </w:pPr>
      <w:r w:rsidRPr="006F3C54">
        <w:rPr>
          <w:rFonts w:ascii="Times New Roman" w:hAnsi="Times New Roman" w:cs="Times New Roman"/>
          <w:kern w:val="0"/>
          <w:sz w:val="22"/>
          <w:szCs w:val="22"/>
          <w14:ligatures w14:val="none"/>
        </w:rPr>
        <w:t>The documents cover a connected sequence of events:</w:t>
      </w:r>
    </w:p>
    <w:p w14:paraId="7FE34131" w14:textId="77777777" w:rsidR="008A30E7" w:rsidRPr="006F3C54" w:rsidRDefault="008A30E7" w:rsidP="00D93A9C">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b/>
          <w:bCs/>
          <w:kern w:val="0"/>
          <w:sz w:val="22"/>
          <w:szCs w:val="22"/>
          <w14:ligatures w14:val="none"/>
        </w:rPr>
        <w:t>1998 — Initial immigration detention:</w:t>
      </w:r>
      <w:r w:rsidRPr="006F3C54">
        <w:rPr>
          <w:rFonts w:ascii="Times New Roman" w:eastAsia="Times New Roman" w:hAnsi="Times New Roman" w:cs="Times New Roman"/>
          <w:kern w:val="0"/>
          <w:sz w:val="22"/>
          <w:szCs w:val="22"/>
          <w14:ligatures w14:val="none"/>
        </w:rPr>
        <w:t xml:space="preserve"> Arrest and detention in Berlin, serious health complaints, and release on 23 November 1998 after the authorities recorded that detention and custody fitness no longer existed. Relevant proceedings: Amtsgericht Schöneberg, 70 XIV 3148/98 B.</w:t>
      </w:r>
    </w:p>
    <w:p w14:paraId="4C48F454" w14:textId="77777777" w:rsidR="008A30E7" w:rsidRPr="006F3C54" w:rsidRDefault="008A30E7" w:rsidP="00D93A9C">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b/>
          <w:bCs/>
          <w:kern w:val="0"/>
          <w:sz w:val="22"/>
          <w:szCs w:val="22"/>
          <w14:ligatures w14:val="none"/>
        </w:rPr>
        <w:t>1999 — Renewed detention:</w:t>
      </w:r>
      <w:r w:rsidRPr="006F3C54">
        <w:rPr>
          <w:rFonts w:ascii="Times New Roman" w:eastAsia="Times New Roman" w:hAnsi="Times New Roman" w:cs="Times New Roman"/>
          <w:kern w:val="0"/>
          <w:sz w:val="22"/>
          <w:szCs w:val="22"/>
          <w14:ligatures w14:val="none"/>
        </w:rPr>
        <w:t xml:space="preserve"> Following his release, Rustem Ismail reported being left without adequate accommodation, documents, financial resources and medical protection. He was detained again in October 1999. His medical condition and the circumstances of his detention became the subject of complaints and legal correspondence.</w:t>
      </w:r>
    </w:p>
    <w:p w14:paraId="25D21A33" w14:textId="77777777" w:rsidR="008A30E7" w:rsidRPr="006F3C54" w:rsidRDefault="008A30E7" w:rsidP="00D93A9C">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b/>
          <w:bCs/>
          <w:kern w:val="0"/>
          <w:sz w:val="22"/>
          <w:szCs w:val="22"/>
          <w14:ligatures w14:val="none"/>
        </w:rPr>
        <w:t>2000 — Criminal prosecution and conviction:</w:t>
      </w:r>
      <w:r w:rsidRPr="006F3C54">
        <w:rPr>
          <w:rFonts w:ascii="Times New Roman" w:eastAsia="Times New Roman" w:hAnsi="Times New Roman" w:cs="Times New Roman"/>
          <w:kern w:val="0"/>
          <w:sz w:val="22"/>
          <w:szCs w:val="22"/>
          <w14:ligatures w14:val="none"/>
        </w:rPr>
        <w:t xml:space="preserve"> On 28 March 2000, the Berlin Public Prosecutor’s Office brought charges concerning alleged unlawful residence between 19 January and 12 October 1999. On 19 July 2000, Amtsgericht Tiergarten imposed a fine of 120 daily rates of 10 Deutsche Mark.</w:t>
      </w:r>
    </w:p>
    <w:p w14:paraId="0843EEA6" w14:textId="77777777" w:rsidR="008A30E7" w:rsidRPr="006F3C54" w:rsidRDefault="008A30E7" w:rsidP="00D93A9C">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b/>
          <w:bCs/>
          <w:kern w:val="0"/>
          <w:sz w:val="22"/>
          <w:szCs w:val="22"/>
          <w14:ligatures w14:val="none"/>
        </w:rPr>
        <w:t>2001–2002 — Enforcement and imprisonment threat:</w:t>
      </w:r>
      <w:r w:rsidRPr="006F3C54">
        <w:rPr>
          <w:rFonts w:ascii="Times New Roman" w:eastAsia="Times New Roman" w:hAnsi="Times New Roman" w:cs="Times New Roman"/>
          <w:kern w:val="0"/>
          <w:sz w:val="22"/>
          <w:szCs w:val="22"/>
          <w14:ligatures w14:val="none"/>
        </w:rPr>
        <w:t xml:space="preserve"> Despite documented financial hardship and medical difficulties, enforcement proceedings continued. On 8 July 2002, the prosecution issued a summons requiring Rustem Ismail to serve 65 days of substitute imprisonment or make the specified payment. The archive also contains correspondence and payment records.</w:t>
      </w:r>
    </w:p>
    <w:p w14:paraId="3126FACC" w14:textId="77777777" w:rsidR="008A30E7" w:rsidRPr="006F3C54" w:rsidRDefault="008A30E7" w:rsidP="00D93A9C">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b/>
          <w:bCs/>
          <w:kern w:val="0"/>
          <w:sz w:val="22"/>
          <w:szCs w:val="22"/>
          <w14:ligatures w14:val="none"/>
        </w:rPr>
        <w:t>2003 — Successful appeal for reopening:</w:t>
      </w:r>
      <w:r w:rsidRPr="006F3C54">
        <w:rPr>
          <w:rFonts w:ascii="Times New Roman" w:eastAsia="Times New Roman" w:hAnsi="Times New Roman" w:cs="Times New Roman"/>
          <w:kern w:val="0"/>
          <w:sz w:val="22"/>
          <w:szCs w:val="22"/>
          <w14:ligatures w14:val="none"/>
        </w:rPr>
        <w:t xml:space="preserve"> On 17 December 2003, Landgericht Berlin overturned the earlier refusal to reopen the criminal proceedings and declared the reopening admissible. The decision addressed the legal significance of the applicant’s entitlement to Duldung and the impossibility of deportation.</w:t>
      </w:r>
    </w:p>
    <w:p w14:paraId="3F702932" w14:textId="77777777" w:rsidR="008A30E7" w:rsidRPr="006F3C54" w:rsidRDefault="008A30E7" w:rsidP="00D93A9C">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b/>
          <w:bCs/>
          <w:kern w:val="0"/>
          <w:sz w:val="22"/>
          <w:szCs w:val="22"/>
          <w14:ligatures w14:val="none"/>
        </w:rPr>
        <w:t>2004 — Immigration and administrative consequences:</w:t>
      </w:r>
      <w:r w:rsidRPr="006F3C54">
        <w:rPr>
          <w:rFonts w:ascii="Times New Roman" w:eastAsia="Times New Roman" w:hAnsi="Times New Roman" w:cs="Times New Roman"/>
          <w:kern w:val="0"/>
          <w:sz w:val="22"/>
          <w:szCs w:val="22"/>
          <w14:ligatures w14:val="none"/>
        </w:rPr>
        <w:t xml:space="preserve"> Further proceedings concerned deportation, residence status, social assistance and access to medical care. The archive contains correspondence from lawyers, authorities and Charité, as well as records concerning the withdrawal of administrative litigation following assurances relating to residence permission.</w:t>
      </w:r>
    </w:p>
    <w:p w14:paraId="4CE928C6" w14:textId="77777777" w:rsidR="008A30E7" w:rsidRPr="006F3C54" w:rsidRDefault="008A30E7" w:rsidP="00D93A9C">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b/>
          <w:bCs/>
          <w:kern w:val="0"/>
          <w:sz w:val="22"/>
          <w:szCs w:val="22"/>
          <w14:ligatures w14:val="none"/>
        </w:rPr>
        <w:t>2005 — Acquittal and compensation:</w:t>
      </w:r>
      <w:r w:rsidRPr="006F3C54">
        <w:rPr>
          <w:rFonts w:ascii="Times New Roman" w:eastAsia="Times New Roman" w:hAnsi="Times New Roman" w:cs="Times New Roman"/>
          <w:kern w:val="0"/>
          <w:sz w:val="22"/>
          <w:szCs w:val="22"/>
          <w14:ligatures w14:val="none"/>
        </w:rPr>
        <w:t xml:space="preserve"> Amtsgericht Tiergarten reopened the criminal case, overturned the conviction of 19 July 2000 and acquitted Rustem Ismail. The court ordered publication of the overturned judgment in the Bundesanzeiger, recognised entitlement to compensation for the conviction and assigned the relevant proceedings’ costs and necessary legal expenses to the State Treasury.</w:t>
      </w:r>
    </w:p>
    <w:p w14:paraId="27CE03F4" w14:textId="77777777" w:rsidR="008A30E7" w:rsidRPr="006F3C54" w:rsidRDefault="008A30E7" w:rsidP="00D93A9C">
      <w:pPr>
        <w:spacing w:before="100" w:beforeAutospacing="1" w:after="100" w:afterAutospacing="1" w:line="240" w:lineRule="auto"/>
        <w:jc w:val="both"/>
        <w:rPr>
          <w:rFonts w:ascii="Times New Roman" w:hAnsi="Times New Roman" w:cs="Times New Roman"/>
          <w:kern w:val="0"/>
          <w:sz w:val="22"/>
          <w:szCs w:val="22"/>
          <w14:ligatures w14:val="none"/>
        </w:rPr>
      </w:pPr>
      <w:r w:rsidRPr="006F3C54">
        <w:rPr>
          <w:rFonts w:ascii="Times New Roman" w:hAnsi="Times New Roman" w:cs="Times New Roman"/>
          <w:b/>
          <w:bCs/>
          <w:kern w:val="0"/>
          <w:sz w:val="22"/>
          <w:szCs w:val="22"/>
          <w14:ligatures w14:val="none"/>
        </w:rPr>
        <w:t>Principal case references:</w:t>
      </w:r>
    </w:p>
    <w:p w14:paraId="257A812F" w14:textId="77777777" w:rsidR="008A30E7" w:rsidRPr="006F3C54" w:rsidRDefault="008A30E7" w:rsidP="00D93A9C">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kern w:val="0"/>
          <w:sz w:val="22"/>
          <w:szCs w:val="22"/>
          <w14:ligatures w14:val="none"/>
        </w:rPr>
        <w:t>Amtsgericht Schöneberg: 70 XIV 3148/98 B</w:t>
      </w:r>
    </w:p>
    <w:p w14:paraId="67BA9DDF" w14:textId="77777777" w:rsidR="008A30E7" w:rsidRPr="006F3C54" w:rsidRDefault="008A30E7" w:rsidP="00D93A9C">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kern w:val="0"/>
          <w:sz w:val="22"/>
          <w:szCs w:val="22"/>
          <w14:ligatures w14:val="none"/>
        </w:rPr>
        <w:t>Staatsanwaltschaft Berlin: 52 Js 7/00</w:t>
      </w:r>
    </w:p>
    <w:p w14:paraId="7D475DE2" w14:textId="77777777" w:rsidR="008A30E7" w:rsidRPr="006F3C54" w:rsidRDefault="008A30E7" w:rsidP="00D93A9C">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kern w:val="0"/>
          <w:sz w:val="22"/>
          <w:szCs w:val="22"/>
          <w14:ligatures w14:val="none"/>
        </w:rPr>
        <w:t>Amtsgericht Tiergarten: 251 a Ds 349/00</w:t>
      </w:r>
    </w:p>
    <w:p w14:paraId="35E99A31" w14:textId="77777777" w:rsidR="008A30E7" w:rsidRPr="006F3C54" w:rsidRDefault="008A30E7" w:rsidP="00D93A9C">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kern w:val="0"/>
          <w:sz w:val="22"/>
          <w:szCs w:val="22"/>
          <w14:ligatures w14:val="none"/>
        </w:rPr>
        <w:t>Enforcement proceedings: 6 V/52 Js 7/00 VRs</w:t>
      </w:r>
    </w:p>
    <w:p w14:paraId="5DCD23A3" w14:textId="77777777" w:rsidR="008A30E7" w:rsidRPr="006F3C54" w:rsidRDefault="008A30E7" w:rsidP="00D93A9C">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kern w:val="0"/>
          <w:sz w:val="22"/>
          <w:szCs w:val="22"/>
          <w14:ligatures w14:val="none"/>
        </w:rPr>
        <w:t>Landgericht Berlin: 528 Qs 49/03</w:t>
      </w:r>
    </w:p>
    <w:p w14:paraId="21DD1C41" w14:textId="77777777" w:rsidR="008A30E7" w:rsidRPr="006F3C54" w:rsidRDefault="008A30E7" w:rsidP="00D93A9C">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kern w:val="0"/>
          <w:sz w:val="22"/>
          <w:szCs w:val="22"/>
          <w14:ligatures w14:val="none"/>
        </w:rPr>
        <w:t>Verwaltungsgericht Berlin: VG 10 A 330.03</w:t>
      </w:r>
    </w:p>
    <w:p w14:paraId="3A919CA4" w14:textId="77777777" w:rsidR="008A30E7" w:rsidRPr="006F3C54" w:rsidRDefault="008A30E7" w:rsidP="00D93A9C">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kern w:val="0"/>
          <w:sz w:val="22"/>
          <w:szCs w:val="22"/>
          <w14:ligatures w14:val="none"/>
        </w:rPr>
        <w:t>Landgericht Berlin: 528 Qs 12/05</w:t>
      </w:r>
    </w:p>
    <w:p w14:paraId="7F330DCD" w14:textId="77777777" w:rsidR="008A30E7" w:rsidRPr="006F3C54" w:rsidRDefault="008A30E7" w:rsidP="00D93A9C">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6F3C54">
        <w:rPr>
          <w:rFonts w:ascii="Times New Roman" w:eastAsia="Times New Roman" w:hAnsi="Times New Roman" w:cs="Times New Roman"/>
          <w:kern w:val="0"/>
          <w:sz w:val="22"/>
          <w:szCs w:val="22"/>
          <w14:ligatures w14:val="none"/>
        </w:rPr>
        <w:lastRenderedPageBreak/>
        <w:t>Constitutional precedent cited in the reopening proceedings: BVerfG 2 BvR 397/02</w:t>
      </w:r>
    </w:p>
    <w:p w14:paraId="64A56396" w14:textId="77777777" w:rsidR="008A30E7" w:rsidRPr="006F3C54" w:rsidRDefault="008A30E7" w:rsidP="00D93A9C">
      <w:pPr>
        <w:spacing w:before="100" w:beforeAutospacing="1" w:after="100" w:afterAutospacing="1" w:line="240" w:lineRule="auto"/>
        <w:jc w:val="both"/>
        <w:rPr>
          <w:rFonts w:ascii="Times New Roman" w:hAnsi="Times New Roman" w:cs="Times New Roman"/>
          <w:kern w:val="0"/>
          <w:sz w:val="22"/>
          <w:szCs w:val="22"/>
          <w14:ligatures w14:val="none"/>
        </w:rPr>
      </w:pPr>
      <w:r w:rsidRPr="006F3C54">
        <w:rPr>
          <w:rFonts w:ascii="Times New Roman" w:hAnsi="Times New Roman" w:cs="Times New Roman"/>
          <w:b/>
          <w:bCs/>
          <w:kern w:val="0"/>
          <w:sz w:val="22"/>
          <w:szCs w:val="22"/>
          <w14:ligatures w14:val="none"/>
        </w:rPr>
        <w:t>Human-rights significance</w:t>
      </w:r>
    </w:p>
    <w:p w14:paraId="37EA63E9" w14:textId="77777777" w:rsidR="008A30E7" w:rsidRPr="006F3C54" w:rsidRDefault="008A30E7" w:rsidP="00D93A9C">
      <w:pPr>
        <w:spacing w:before="100" w:beforeAutospacing="1" w:after="100" w:afterAutospacing="1" w:line="240" w:lineRule="auto"/>
        <w:jc w:val="both"/>
        <w:rPr>
          <w:rFonts w:ascii="Times New Roman" w:hAnsi="Times New Roman" w:cs="Times New Roman"/>
          <w:kern w:val="0"/>
          <w:sz w:val="22"/>
          <w:szCs w:val="22"/>
          <w14:ligatures w14:val="none"/>
        </w:rPr>
      </w:pPr>
      <w:r w:rsidRPr="006F3C54">
        <w:rPr>
          <w:rFonts w:ascii="Times New Roman" w:hAnsi="Times New Roman" w:cs="Times New Roman"/>
          <w:kern w:val="0"/>
          <w:sz w:val="22"/>
          <w:szCs w:val="22"/>
          <w14:ligatures w14:val="none"/>
        </w:rPr>
        <w:t>The documents raise important questions about deprivation of liberty, medical protection during detention, the failure to resolve immigration status, criminal prosecution despite possible entitlement to Duldung, poverty-related imprisonment risks, and access to effective legal remedies.</w:t>
      </w:r>
    </w:p>
    <w:p w14:paraId="3607A322" w14:textId="77777777" w:rsidR="008A30E7" w:rsidRPr="006F3C54" w:rsidRDefault="008A30E7" w:rsidP="00D93A9C">
      <w:pPr>
        <w:spacing w:before="100" w:beforeAutospacing="1" w:after="100" w:afterAutospacing="1" w:line="240" w:lineRule="auto"/>
        <w:jc w:val="both"/>
        <w:rPr>
          <w:rFonts w:ascii="Times New Roman" w:hAnsi="Times New Roman" w:cs="Times New Roman"/>
          <w:kern w:val="0"/>
          <w:sz w:val="22"/>
          <w:szCs w:val="22"/>
          <w14:ligatures w14:val="none"/>
        </w:rPr>
      </w:pPr>
      <w:r w:rsidRPr="006F3C54">
        <w:rPr>
          <w:rFonts w:ascii="Times New Roman" w:hAnsi="Times New Roman" w:cs="Times New Roman"/>
          <w:kern w:val="0"/>
          <w:sz w:val="22"/>
          <w:szCs w:val="22"/>
          <w14:ligatures w14:val="none"/>
        </w:rPr>
        <w:t>The accompanying ChatGPT Legal Analysis Reports No. 01 and No. 02 examine this connected history under German constitutional law and international human-rights standards. They distinguish documented court findings from personal testimony and allegations requiring further independent investigation.</w:t>
      </w:r>
    </w:p>
    <w:p w14:paraId="5E0A1FC0" w14:textId="77777777" w:rsidR="008A30E7" w:rsidRPr="006F3C54" w:rsidRDefault="008A30E7" w:rsidP="00D93A9C">
      <w:pPr>
        <w:spacing w:before="100" w:beforeAutospacing="1" w:after="100" w:afterAutospacing="1" w:line="240" w:lineRule="auto"/>
        <w:jc w:val="both"/>
        <w:rPr>
          <w:rFonts w:ascii="Times New Roman" w:hAnsi="Times New Roman" w:cs="Times New Roman"/>
          <w:kern w:val="0"/>
          <w:sz w:val="22"/>
          <w:szCs w:val="22"/>
          <w14:ligatures w14:val="none"/>
        </w:rPr>
      </w:pPr>
      <w:r w:rsidRPr="006F3C54">
        <w:rPr>
          <w:rFonts w:ascii="Times New Roman" w:hAnsi="Times New Roman" w:cs="Times New Roman"/>
          <w:b/>
          <w:bCs/>
          <w:kern w:val="0"/>
          <w:sz w:val="22"/>
          <w:szCs w:val="22"/>
          <w14:ligatures w14:val="none"/>
        </w:rPr>
        <w:t>Most important documented outcome:</w:t>
      </w:r>
      <w:r w:rsidRPr="006F3C54">
        <w:rPr>
          <w:rFonts w:ascii="Times New Roman" w:hAnsi="Times New Roman" w:cs="Times New Roman"/>
          <w:kern w:val="0"/>
          <w:sz w:val="22"/>
          <w:szCs w:val="22"/>
          <w14:ligatures w14:val="none"/>
        </w:rPr>
        <w:t xml:space="preserve"> The criminal conviction of 19 July 2000 was overturned, and Rustem Ismail was acquitted through judicial reopening in January 2005.</w:t>
      </w:r>
    </w:p>
    <w:p w14:paraId="4570DEC5" w14:textId="77777777" w:rsidR="008A30E7" w:rsidRPr="006F3C54" w:rsidRDefault="008A30E7" w:rsidP="00D93A9C">
      <w:pPr>
        <w:spacing w:before="100" w:beforeAutospacing="1" w:after="100" w:afterAutospacing="1" w:line="240" w:lineRule="auto"/>
        <w:jc w:val="both"/>
        <w:rPr>
          <w:rFonts w:ascii="Times New Roman" w:hAnsi="Times New Roman" w:cs="Times New Roman"/>
          <w:kern w:val="0"/>
          <w:sz w:val="22"/>
          <w:szCs w:val="22"/>
          <w14:ligatures w14:val="none"/>
        </w:rPr>
      </w:pPr>
      <w:r w:rsidRPr="006F3C54">
        <w:rPr>
          <w:rFonts w:ascii="Times New Roman" w:hAnsi="Times New Roman" w:cs="Times New Roman"/>
          <w:kern w:val="0"/>
          <w:sz w:val="22"/>
          <w:szCs w:val="22"/>
          <w14:ligatures w14:val="none"/>
        </w:rPr>
        <w:t>This archive preserves the original evidence for historical documentation, independent legal examination and public accountability.</w:t>
      </w:r>
    </w:p>
    <w:p w14:paraId="75A9BF36" w14:textId="77777777" w:rsidR="00623959" w:rsidRPr="006F3C54" w:rsidRDefault="00623959" w:rsidP="00D93A9C">
      <w:pPr>
        <w:pStyle w:val="p1"/>
        <w:jc w:val="both"/>
        <w:rPr>
          <w:sz w:val="22"/>
          <w:szCs w:val="22"/>
        </w:rPr>
      </w:pPr>
    </w:p>
    <w:p w14:paraId="1BB36316" w14:textId="77777777" w:rsidR="00623959" w:rsidRPr="006F3C54" w:rsidRDefault="00623959" w:rsidP="00D93A9C">
      <w:pPr>
        <w:pStyle w:val="p1"/>
        <w:jc w:val="both"/>
        <w:rPr>
          <w:sz w:val="22"/>
          <w:szCs w:val="22"/>
        </w:rPr>
      </w:pPr>
    </w:p>
    <w:sectPr w:rsidR="00623959" w:rsidRPr="006F3C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D773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E009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7035729">
    <w:abstractNumId w:val="0"/>
  </w:num>
  <w:num w:numId="2" w16cid:durableId="31630345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63E"/>
    <w:rsid w:val="004268F8"/>
    <w:rsid w:val="00623959"/>
    <w:rsid w:val="006F3C54"/>
    <w:rsid w:val="008A30E7"/>
    <w:rsid w:val="00A5177D"/>
    <w:rsid w:val="00D93A9C"/>
    <w:rsid w:val="00EF063E"/>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6DD0CBAA"/>
  <w15:chartTrackingRefBased/>
  <w15:docId w15:val="{E396ACB0-953E-8A49-97D2-3410851A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F0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F0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F063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F063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F063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F063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F063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F063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F063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F063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F063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F063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F063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F063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F063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F063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F063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F063E"/>
    <w:rPr>
      <w:rFonts w:eastAsiaTheme="majorEastAsia" w:cstheme="majorBidi"/>
      <w:color w:val="272727" w:themeColor="text1" w:themeTint="D8"/>
    </w:rPr>
  </w:style>
  <w:style w:type="paragraph" w:styleId="KonuBal">
    <w:name w:val="Title"/>
    <w:basedOn w:val="Normal"/>
    <w:next w:val="Normal"/>
    <w:link w:val="KonuBalChar"/>
    <w:uiPriority w:val="10"/>
    <w:qFormat/>
    <w:rsid w:val="00EF0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F063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F063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F063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F063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F063E"/>
    <w:rPr>
      <w:i/>
      <w:iCs/>
      <w:color w:val="404040" w:themeColor="text1" w:themeTint="BF"/>
    </w:rPr>
  </w:style>
  <w:style w:type="paragraph" w:styleId="ListeParagraf">
    <w:name w:val="List Paragraph"/>
    <w:basedOn w:val="Normal"/>
    <w:uiPriority w:val="34"/>
    <w:qFormat/>
    <w:rsid w:val="00EF063E"/>
    <w:pPr>
      <w:ind w:left="720"/>
      <w:contextualSpacing/>
    </w:pPr>
  </w:style>
  <w:style w:type="character" w:styleId="GlVurgulama">
    <w:name w:val="Intense Emphasis"/>
    <w:basedOn w:val="VarsaylanParagrafYazTipi"/>
    <w:uiPriority w:val="21"/>
    <w:qFormat/>
    <w:rsid w:val="00EF063E"/>
    <w:rPr>
      <w:i/>
      <w:iCs/>
      <w:color w:val="0F4761" w:themeColor="accent1" w:themeShade="BF"/>
    </w:rPr>
  </w:style>
  <w:style w:type="paragraph" w:styleId="GlAlnt">
    <w:name w:val="Intense Quote"/>
    <w:basedOn w:val="Normal"/>
    <w:next w:val="Normal"/>
    <w:link w:val="GlAlntChar"/>
    <w:uiPriority w:val="30"/>
    <w:qFormat/>
    <w:rsid w:val="00EF0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F063E"/>
    <w:rPr>
      <w:i/>
      <w:iCs/>
      <w:color w:val="0F4761" w:themeColor="accent1" w:themeShade="BF"/>
    </w:rPr>
  </w:style>
  <w:style w:type="character" w:styleId="GlBavuru">
    <w:name w:val="Intense Reference"/>
    <w:basedOn w:val="VarsaylanParagrafYazTipi"/>
    <w:uiPriority w:val="32"/>
    <w:qFormat/>
    <w:rsid w:val="00EF063E"/>
    <w:rPr>
      <w:b/>
      <w:bCs/>
      <w:smallCaps/>
      <w:color w:val="0F4761" w:themeColor="accent1" w:themeShade="BF"/>
      <w:spacing w:val="5"/>
    </w:rPr>
  </w:style>
  <w:style w:type="paragraph" w:customStyle="1" w:styleId="p1">
    <w:name w:val="p1"/>
    <w:basedOn w:val="Normal"/>
    <w:rsid w:val="00EF063E"/>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8A30E7"/>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8A30E7"/>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8A30E7"/>
  </w:style>
  <w:style w:type="character" w:customStyle="1" w:styleId="s2">
    <w:name w:val="s2"/>
    <w:basedOn w:val="VarsaylanParagrafYazTipi"/>
    <w:rsid w:val="008A30E7"/>
  </w:style>
  <w:style w:type="paragraph" w:customStyle="1" w:styleId="p6">
    <w:name w:val="p6"/>
    <w:basedOn w:val="Normal"/>
    <w:rsid w:val="008A30E7"/>
    <w:pPr>
      <w:spacing w:before="100" w:beforeAutospacing="1" w:after="100" w:afterAutospacing="1" w:line="240" w:lineRule="auto"/>
    </w:pPr>
    <w:rPr>
      <w:rFonts w:ascii="Times New Roman" w:hAnsi="Times New Roman" w:cs="Times New Roman"/>
      <w:kern w:val="0"/>
      <w14:ligatures w14:val="none"/>
    </w:rPr>
  </w:style>
  <w:style w:type="paragraph" w:customStyle="1" w:styleId="p7">
    <w:name w:val="p7"/>
    <w:basedOn w:val="Normal"/>
    <w:rsid w:val="008A30E7"/>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3540</Characters>
  <Application>Microsoft Office Word</Application>
  <DocSecurity>0</DocSecurity>
  <Lines>29</Lines>
  <Paragraphs>8</Paragraphs>
  <ScaleCrop>false</ScaleCrop>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2026-10-18T00:47:00Z</dcterms:created>
  <dcterms:modified xsi:type="dcterms:W3CDTF">2026-10-18T00:47:00Z</dcterms:modified>
</cp:coreProperties>
</file>