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89322" w14:textId="77777777" w:rsidR="002F069D" w:rsidRPr="00E7311E" w:rsidRDefault="002F069D" w:rsidP="00E7311E">
      <w:pPr>
        <w:pStyle w:val="p1"/>
        <w:jc w:val="both"/>
        <w:rPr>
          <w:sz w:val="22"/>
          <w:szCs w:val="22"/>
        </w:rPr>
      </w:pPr>
      <w:r w:rsidRPr="00E7311E">
        <w:rPr>
          <w:sz w:val="22"/>
          <w:szCs w:val="22"/>
        </w:rPr>
        <w:t>2009–2012 — 50 Milyon Avroluk Tazminat Davasının Mahkeme Tarafından Atanan Vasi Eliyle Kaybettirilmesi ve Tazminat Yerine 91.456 Avroluk Mali Cezaya Dönüştürülmesi — İddia Edilen Ağır Hukuk ve İnsan Hakları İhlalleri</w:t>
      </w:r>
    </w:p>
    <w:p w14:paraId="77E088BA" w14:textId="77777777" w:rsidR="00993888" w:rsidRPr="00E7311E" w:rsidRDefault="00993888" w:rsidP="00E7311E">
      <w:pPr>
        <w:spacing w:before="100" w:beforeAutospacing="1" w:after="100" w:afterAutospacing="1" w:line="240" w:lineRule="auto"/>
        <w:jc w:val="both"/>
        <w:outlineLvl w:val="0"/>
        <w:rPr>
          <w:rFonts w:ascii="Times New Roman" w:eastAsia="Times New Roman" w:hAnsi="Times New Roman" w:cs="Times New Roman"/>
          <w:b/>
          <w:bCs/>
          <w:kern w:val="36"/>
          <w:sz w:val="22"/>
          <w:szCs w:val="22"/>
          <w14:ligatures w14:val="none"/>
        </w:rPr>
      </w:pPr>
      <w:r w:rsidRPr="00E7311E">
        <w:rPr>
          <w:rFonts w:ascii="Times New Roman" w:eastAsia="Times New Roman" w:hAnsi="Times New Roman" w:cs="Times New Roman"/>
          <w:b/>
          <w:bCs/>
          <w:kern w:val="36"/>
          <w:sz w:val="22"/>
          <w:szCs w:val="22"/>
          <w14:ligatures w14:val="none"/>
        </w:rPr>
        <w:t>BELGESEL HUKUK ARŞİVİ — 2009–2012</w:t>
      </w:r>
    </w:p>
    <w:p w14:paraId="7BEA38B5"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kern w:val="0"/>
          <w:sz w:val="22"/>
          <w:szCs w:val="22"/>
          <w14:ligatures w14:val="none"/>
        </w:rPr>
        <w:t>Bu 150 sayfalık arşiv, İsmail Rustam’ın Alman yargı makamlarına karşı yürüttüğü hukuki süreçleri belgelemektedir. Bunlar arasında 50 milyon avroluk tazminat davası, tartışmalı 91.456 avroluk mahkeme masrafı, ihtilaflı vesayet düzenlemeleri, icra işlemleri, adli yardım taleplerinin reddedilmesi ve Almanya’nın en yüksek mahkemeleri önündeki itirazlar bulunmaktadır.</w:t>
      </w:r>
    </w:p>
    <w:p w14:paraId="638E8298"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b/>
          <w:bCs/>
          <w:kern w:val="0"/>
          <w:sz w:val="22"/>
          <w:szCs w:val="22"/>
          <w14:ligatures w14:val="none"/>
        </w:rPr>
        <w:t>Başlıca yargı süreçleri:</w:t>
      </w:r>
      <w:r w:rsidRPr="00E7311E">
        <w:rPr>
          <w:rFonts w:ascii="Times New Roman" w:hAnsi="Times New Roman" w:cs="Times New Roman"/>
          <w:kern w:val="0"/>
          <w:sz w:val="22"/>
          <w:szCs w:val="22"/>
          <w14:ligatures w14:val="none"/>
        </w:rPr>
        <w:t xml:space="preserve"> Landgericht Berlin — </w:t>
      </w:r>
      <w:r w:rsidRPr="00E7311E">
        <w:rPr>
          <w:rFonts w:ascii="Times New Roman" w:hAnsi="Times New Roman" w:cs="Times New Roman"/>
          <w:b/>
          <w:bCs/>
          <w:kern w:val="0"/>
          <w:sz w:val="22"/>
          <w:szCs w:val="22"/>
          <w14:ligatures w14:val="none"/>
        </w:rPr>
        <w:t>86 O 633/09</w:t>
      </w:r>
      <w:r w:rsidRPr="00E7311E">
        <w:rPr>
          <w:rFonts w:ascii="Times New Roman" w:hAnsi="Times New Roman" w:cs="Times New Roman"/>
          <w:kern w:val="0"/>
          <w:sz w:val="22"/>
          <w:szCs w:val="22"/>
          <w14:ligatures w14:val="none"/>
        </w:rPr>
        <w:t xml:space="preserve">; Amtsgericht Tiergarten — </w:t>
      </w:r>
      <w:r w:rsidRPr="00E7311E">
        <w:rPr>
          <w:rFonts w:ascii="Times New Roman" w:hAnsi="Times New Roman" w:cs="Times New Roman"/>
          <w:b/>
          <w:bCs/>
          <w:kern w:val="0"/>
          <w:sz w:val="22"/>
          <w:szCs w:val="22"/>
          <w14:ligatures w14:val="none"/>
        </w:rPr>
        <w:t>50 XVII 7034/09</w:t>
      </w:r>
      <w:r w:rsidRPr="00E7311E">
        <w:rPr>
          <w:rFonts w:ascii="Times New Roman" w:hAnsi="Times New Roman" w:cs="Times New Roman"/>
          <w:kern w:val="0"/>
          <w:sz w:val="22"/>
          <w:szCs w:val="22"/>
          <w14:ligatures w14:val="none"/>
        </w:rPr>
        <w:t xml:space="preserve">; Kammergericht Berlin — </w:t>
      </w:r>
      <w:r w:rsidRPr="00E7311E">
        <w:rPr>
          <w:rFonts w:ascii="Times New Roman" w:hAnsi="Times New Roman" w:cs="Times New Roman"/>
          <w:b/>
          <w:bCs/>
          <w:kern w:val="0"/>
          <w:sz w:val="22"/>
          <w:szCs w:val="22"/>
          <w14:ligatures w14:val="none"/>
        </w:rPr>
        <w:t>6 W 44/11</w:t>
      </w:r>
      <w:r w:rsidRPr="00E7311E">
        <w:rPr>
          <w:rFonts w:ascii="Times New Roman" w:hAnsi="Times New Roman" w:cs="Times New Roman"/>
          <w:kern w:val="0"/>
          <w:sz w:val="22"/>
          <w:szCs w:val="22"/>
          <w14:ligatures w14:val="none"/>
        </w:rPr>
        <w:t xml:space="preserve">; Bundesgerichtshof — </w:t>
      </w:r>
      <w:r w:rsidRPr="00E7311E">
        <w:rPr>
          <w:rFonts w:ascii="Times New Roman" w:hAnsi="Times New Roman" w:cs="Times New Roman"/>
          <w:b/>
          <w:bCs/>
          <w:kern w:val="0"/>
          <w:sz w:val="22"/>
          <w:szCs w:val="22"/>
          <w14:ligatures w14:val="none"/>
        </w:rPr>
        <w:t>XII ZB 484/11</w:t>
      </w:r>
      <w:r w:rsidRPr="00E7311E">
        <w:rPr>
          <w:rFonts w:ascii="Times New Roman" w:hAnsi="Times New Roman" w:cs="Times New Roman"/>
          <w:kern w:val="0"/>
          <w:sz w:val="22"/>
          <w:szCs w:val="22"/>
          <w14:ligatures w14:val="none"/>
        </w:rPr>
        <w:t>.</w:t>
      </w:r>
    </w:p>
    <w:p w14:paraId="6D34F162"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kern w:val="0"/>
          <w:sz w:val="22"/>
          <w:szCs w:val="22"/>
          <w14:ligatures w14:val="none"/>
        </w:rPr>
        <w:t>24 Kasım 2009 tarihinde başvurucu, yıllarca süren adli, idari ve tıbbi adaletsizlikler sonucunda ciddi zarara uğradığını ileri sürerek bir tazminat davası açmıştır. Bu süreç daha sonra 91.456 avroluk mahkeme masrafının tahakkuk ettirilmesine, ardından icra işlemlerine ve itirazlara yol açmıştır.</w:t>
      </w:r>
    </w:p>
    <w:p w14:paraId="231D3996"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kern w:val="0"/>
          <w:sz w:val="22"/>
          <w:szCs w:val="22"/>
          <w14:ligatures w14:val="none"/>
        </w:rPr>
        <w:t>Arşiv, mahkeme tarafından atanan vasi Öner Birant, 9 Mart 2011 tarihinde vesayetin sona erdirilmesi, avukatlık temsilinin sona ermesi, adli yardım taleplerinin reddedilmesi ve sonraki itirazların geri çevrilmesiyle ilgili resmî yazışmaları içermektedir.</w:t>
      </w:r>
    </w:p>
    <w:p w14:paraId="3336E212"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b/>
          <w:bCs/>
          <w:kern w:val="0"/>
          <w:sz w:val="22"/>
          <w:szCs w:val="22"/>
          <w14:ligatures w14:val="none"/>
        </w:rPr>
        <w:t>Alman anayasal haklarının ihlal edildiğine ilişkin iddialar</w:t>
      </w:r>
      <w:r w:rsidRPr="00E7311E">
        <w:rPr>
          <w:rFonts w:ascii="Times New Roman" w:hAnsi="Times New Roman" w:cs="Times New Roman"/>
          <w:kern w:val="0"/>
          <w:sz w:val="22"/>
          <w:szCs w:val="22"/>
          <w14:ligatures w14:val="none"/>
        </w:rPr>
        <w:t>, insan onurunu (GG Madde 1(1)), yaşam ve beden bütünlüğü hakkını (GG Madde 2(2)), eşitliği ve engellilik nedeniyle ayrımcılığı (GG Madde 3), etkili yargısal korunmayı (GG Madde 19(4)) ve mahkemede dinlenilme hakkını (GG Madde 103(1)) kapsamaktadır.</w:t>
      </w:r>
    </w:p>
    <w:p w14:paraId="5B8B9751"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b/>
          <w:bCs/>
          <w:kern w:val="0"/>
          <w:sz w:val="22"/>
          <w:szCs w:val="22"/>
          <w14:ligatures w14:val="none"/>
        </w:rPr>
        <w:t>Uluslararası insan hakları hukukunun ihlal edildiğine ilişkin iddialar</w:t>
      </w:r>
      <w:r w:rsidRPr="00E7311E">
        <w:rPr>
          <w:rFonts w:ascii="Times New Roman" w:hAnsi="Times New Roman" w:cs="Times New Roman"/>
          <w:kern w:val="0"/>
          <w:sz w:val="22"/>
          <w:szCs w:val="22"/>
          <w14:ligatures w14:val="none"/>
        </w:rPr>
        <w:t xml:space="preserve">, Avrupa İnsan Hakları Sözleşmesi’nin özellikle </w:t>
      </w:r>
      <w:r w:rsidRPr="00E7311E">
        <w:rPr>
          <w:rFonts w:ascii="Times New Roman" w:hAnsi="Times New Roman" w:cs="Times New Roman"/>
          <w:b/>
          <w:bCs/>
          <w:kern w:val="0"/>
          <w:sz w:val="22"/>
          <w:szCs w:val="22"/>
          <w14:ligatures w14:val="none"/>
        </w:rPr>
        <w:t>2, 3, 6, 8, 13 ve 14. maddeleri</w:t>
      </w:r>
      <w:r w:rsidRPr="00E7311E">
        <w:rPr>
          <w:rFonts w:ascii="Times New Roman" w:hAnsi="Times New Roman" w:cs="Times New Roman"/>
          <w:kern w:val="0"/>
          <w:sz w:val="22"/>
          <w:szCs w:val="22"/>
          <w14:ligatures w14:val="none"/>
        </w:rPr>
        <w:t xml:space="preserve"> kapsamında hukuki sorunlar ortaya çıkarmaktadır. Ayrıca Birleşmiş Milletler İşkenceye Karşı Sözleşmesi, Medeni ve Siyasi Haklara İlişkin Uluslararası Sözleşme ve Birleşmiş Milletler Engelli Hakları Sözleşmesi, özellikle 13. madde kapsamında adalete erişim hakkı bakımından önem taşımaktadır.</w:t>
      </w:r>
    </w:p>
    <w:p w14:paraId="1538E2E8"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kern w:val="0"/>
          <w:sz w:val="22"/>
          <w:szCs w:val="22"/>
          <w14:ligatures w14:val="none"/>
        </w:rPr>
        <w:t>Temel iddialar, ağır engelliliği bulunan ve maddi açıdan savunmasız durumdaki bir başvurucuya yüklenen mahkeme masraflarının orantılılığı, avukatlık temsilinin yeterliliği, vesayetle ilgili kararların hukuka uygunluğu, etkili yargısal başvuru yollarına erişim ve ciddi tıbbi delillerin dikkate alınması konularına ilişkindir.</w:t>
      </w:r>
    </w:p>
    <w:p w14:paraId="4265A803"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b/>
          <w:bCs/>
          <w:kern w:val="0"/>
          <w:sz w:val="22"/>
          <w:szCs w:val="22"/>
          <w14:ligatures w14:val="none"/>
        </w:rPr>
        <w:t>Bu arşiv, devlet kurumlarının iddia edilen hukuka aykırı faaliyetlerinin, adalete erişimin engellenmesinin ve temel insan hakları ihlallerinin bağımsız şekilde soruşturulması amacıyla orijinal mahkeme kararlarını, hukuki itirazları, yazışmaları ve belgesel kanıtları muhafaza etmektedir.</w:t>
      </w:r>
    </w:p>
    <w:p w14:paraId="50EB4ABD"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kern w:val="0"/>
          <w:sz w:val="22"/>
          <w:szCs w:val="22"/>
          <w14:ligatures w14:val="none"/>
        </w:rPr>
        <w:t>Resmî belgeler, yargı süreçlerinin, mahkeme masrafı tahakkuklarının ve mahkeme kararlarının varlığını ortaya koymaktadır. Ancak bu işlemlerin hukuka aykırı davranış veya insan hakları ihlali oluşturup oluşturmadığı ayrı bir hukuki değerlendirme gerektirmektedir.</w:t>
      </w:r>
    </w:p>
    <w:p w14:paraId="6D9F11B8" w14:textId="77777777" w:rsidR="00993888" w:rsidRPr="00E7311E" w:rsidRDefault="00993888" w:rsidP="00E7311E">
      <w:pPr>
        <w:spacing w:before="100" w:beforeAutospacing="1" w:after="100" w:afterAutospacing="1" w:line="240" w:lineRule="auto"/>
        <w:jc w:val="both"/>
        <w:rPr>
          <w:rFonts w:ascii="Times New Roman" w:hAnsi="Times New Roman" w:cs="Times New Roman"/>
          <w:kern w:val="0"/>
          <w:sz w:val="22"/>
          <w:szCs w:val="22"/>
          <w14:ligatures w14:val="none"/>
        </w:rPr>
      </w:pPr>
      <w:r w:rsidRPr="00E7311E">
        <w:rPr>
          <w:rFonts w:ascii="Times New Roman" w:hAnsi="Times New Roman" w:cs="Times New Roman"/>
          <w:b/>
          <w:bCs/>
          <w:kern w:val="0"/>
          <w:sz w:val="22"/>
          <w:szCs w:val="22"/>
          <w14:ligatures w14:val="none"/>
        </w:rPr>
        <w:t>İsmail Rustam — Hukuki Deliller Arşivi, 2009–2012.</w:t>
      </w:r>
    </w:p>
    <w:p w14:paraId="631D1D67" w14:textId="77777777" w:rsidR="002F069D" w:rsidRPr="00E7311E" w:rsidRDefault="002F069D" w:rsidP="00E7311E">
      <w:pPr>
        <w:jc w:val="both"/>
        <w:rPr>
          <w:sz w:val="22"/>
          <w:szCs w:val="22"/>
        </w:rPr>
      </w:pPr>
    </w:p>
    <w:sectPr w:rsidR="002F069D" w:rsidRPr="00E731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69D"/>
    <w:rsid w:val="001012B6"/>
    <w:rsid w:val="002F069D"/>
    <w:rsid w:val="00993888"/>
    <w:rsid w:val="00CA3945"/>
    <w:rsid w:val="00E7311E"/>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36786CDB"/>
  <w15:chartTrackingRefBased/>
  <w15:docId w15:val="{0C0E6072-ED5E-634D-9263-8EE81410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F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F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F069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F069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F069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F069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F069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F069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F069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F069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F069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F069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F069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F069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F069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F069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F069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F069D"/>
    <w:rPr>
      <w:rFonts w:eastAsiaTheme="majorEastAsia" w:cstheme="majorBidi"/>
      <w:color w:val="272727" w:themeColor="text1" w:themeTint="D8"/>
    </w:rPr>
  </w:style>
  <w:style w:type="paragraph" w:styleId="KonuBal">
    <w:name w:val="Title"/>
    <w:basedOn w:val="Normal"/>
    <w:next w:val="Normal"/>
    <w:link w:val="KonuBalChar"/>
    <w:uiPriority w:val="10"/>
    <w:qFormat/>
    <w:rsid w:val="002F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F069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F069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F069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F069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F069D"/>
    <w:rPr>
      <w:i/>
      <w:iCs/>
      <w:color w:val="404040" w:themeColor="text1" w:themeTint="BF"/>
    </w:rPr>
  </w:style>
  <w:style w:type="paragraph" w:styleId="ListeParagraf">
    <w:name w:val="List Paragraph"/>
    <w:basedOn w:val="Normal"/>
    <w:uiPriority w:val="34"/>
    <w:qFormat/>
    <w:rsid w:val="002F069D"/>
    <w:pPr>
      <w:ind w:left="720"/>
      <w:contextualSpacing/>
    </w:pPr>
  </w:style>
  <w:style w:type="character" w:styleId="GlVurgulama">
    <w:name w:val="Intense Emphasis"/>
    <w:basedOn w:val="VarsaylanParagrafYazTipi"/>
    <w:uiPriority w:val="21"/>
    <w:qFormat/>
    <w:rsid w:val="002F069D"/>
    <w:rPr>
      <w:i/>
      <w:iCs/>
      <w:color w:val="0F4761" w:themeColor="accent1" w:themeShade="BF"/>
    </w:rPr>
  </w:style>
  <w:style w:type="paragraph" w:styleId="GlAlnt">
    <w:name w:val="Intense Quote"/>
    <w:basedOn w:val="Normal"/>
    <w:next w:val="Normal"/>
    <w:link w:val="GlAlntChar"/>
    <w:uiPriority w:val="30"/>
    <w:qFormat/>
    <w:rsid w:val="002F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F069D"/>
    <w:rPr>
      <w:i/>
      <w:iCs/>
      <w:color w:val="0F4761" w:themeColor="accent1" w:themeShade="BF"/>
    </w:rPr>
  </w:style>
  <w:style w:type="character" w:styleId="GlBavuru">
    <w:name w:val="Intense Reference"/>
    <w:basedOn w:val="VarsaylanParagrafYazTipi"/>
    <w:uiPriority w:val="32"/>
    <w:qFormat/>
    <w:rsid w:val="002F069D"/>
    <w:rPr>
      <w:b/>
      <w:bCs/>
      <w:smallCaps/>
      <w:color w:val="0F4761" w:themeColor="accent1" w:themeShade="BF"/>
      <w:spacing w:val="5"/>
    </w:rPr>
  </w:style>
  <w:style w:type="paragraph" w:customStyle="1" w:styleId="p1">
    <w:name w:val="p1"/>
    <w:basedOn w:val="Normal"/>
    <w:rsid w:val="002F069D"/>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993888"/>
  </w:style>
  <w:style w:type="paragraph" w:customStyle="1" w:styleId="p3">
    <w:name w:val="p3"/>
    <w:basedOn w:val="Normal"/>
    <w:rsid w:val="00993888"/>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VarsaylanParagrafYazTipi"/>
    <w:rsid w:val="00993888"/>
  </w:style>
  <w:style w:type="paragraph" w:customStyle="1" w:styleId="p4">
    <w:name w:val="p4"/>
    <w:basedOn w:val="Normal"/>
    <w:rsid w:val="00993888"/>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2568</Characters>
  <Application>Microsoft Office Word</Application>
  <DocSecurity>0</DocSecurity>
  <Lines>21</Lines>
  <Paragraphs>6</Paragraphs>
  <ScaleCrop>false</ScaleCrop>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2026-10-18T04:57:00Z</dcterms:created>
  <dcterms:modified xsi:type="dcterms:W3CDTF">2026-10-18T04:57:00Z</dcterms:modified>
</cp:coreProperties>
</file>