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0) - 1000 Migrant Suicide</w:t></w:r><w:bookmarkEnd w:id="0"/></w:p><w:p/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 Quelle: 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Was ware gewesen, hatte sie nicht geklagt? Was ware gewesen, hatte</w:t></w:r></w:p><w:p><w:pPr/><w:r><w:rPr/><w:t xml:space="preserve">im Zuwande-        waltungsgerichts anerkannt, dass Verfolgung aufgrund Homosexua-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</w:t></w:r></w:p><w:p><w:pPr/><w:r><w:rPr/><w:t xml:space="preserve">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 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 Vgl. BVerfGE</w:t></w:r></w:p><w:p><w:pPr/><w:r><w:rPr/><w:t xml:space="preserve">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 Quelle: GLADT</w:t></w:r></w:p><w:p><w:pPr/><w:r><w:rPr/><w:t xml:space="preserve">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117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2026-09-21T15:10:19+02:00</dcterms:created>
  <dcterms:modified xsi:type="dcterms:W3CDTF">2026-09-21T15:10:19+02:00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